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3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1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Commission File Number: 001-37668</w:t>
      </w:r>
    </w:p>
    <w:p>
      <w:pPr>
        <w:spacing w:after="0" w:line="13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FERROGLOBE PLC</w:t>
      </w:r>
    </w:p>
    <w:p>
      <w:pPr>
        <w:spacing w:after="0" w:line="2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(Name of Registrant)</w:t>
      </w:r>
    </w:p>
    <w:p>
      <w:pPr>
        <w:spacing w:after="0" w:line="13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color w:val="auto"/>
        </w:rPr>
        <w:t>13 Chesterfield Street,</w:t>
      </w:r>
    </w:p>
    <w:p>
      <w:pPr>
        <w:spacing w:after="0" w:line="1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color w:val="auto"/>
        </w:rPr>
        <w:t>London W1J 5JN, United Kingdom</w:t>
      </w:r>
    </w:p>
    <w:p>
      <w:pPr>
        <w:spacing w:after="0" w:line="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jc w:val="right"/>
        <w:ind w:right="1599"/>
        <w:spacing w:after="0" w:line="138" w:lineRule="exact"/>
        <w:tabs>
          <w:tab w:leader="none" w:pos="66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737235</wp:posOffset>
            </wp:positionV>
            <wp:extent cx="65379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348615</wp:posOffset>
            </wp:positionV>
            <wp:extent cx="653796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9659"/>
          </w:cols>
          <w:pgMar w:left="800" w:top="48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auto"/>
        </w:rPr>
        <w:t>This Form 6-K consists of the following materials, which appear immediately following this page:</w:t>
      </w:r>
    </w:p>
    <w:p>
      <w:pPr>
        <w:spacing w:after="0" w:line="150" w:lineRule="exact"/>
        <w:rPr>
          <w:sz w:val="20"/>
          <w:szCs w:val="20"/>
          <w:color w:val="auto"/>
        </w:rPr>
      </w:pPr>
    </w:p>
    <w:p>
      <w:pPr>
        <w:ind w:left="420" w:hanging="206"/>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Press release dated May 5, 2026 announcing results for the quarter ended March 31, 2026</w:t>
      </w:r>
    </w:p>
    <w:p>
      <w:pPr>
        <w:spacing w:after="0" w:line="16" w:lineRule="exact"/>
        <w:rPr>
          <w:rFonts w:ascii="Times New Roman" w:cs="Times New Roman" w:eastAsia="Times New Roman" w:hAnsi="Times New Roman"/>
          <w:sz w:val="12"/>
          <w:szCs w:val="12"/>
          <w:color w:val="auto"/>
        </w:rPr>
      </w:pPr>
    </w:p>
    <w:p>
      <w:pPr>
        <w:ind w:left="420" w:hanging="206"/>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quarter 2026 earnings call presentation</w:t>
      </w:r>
    </w:p>
    <w:p>
      <w:pPr>
        <w:spacing w:after="0" w:line="28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This Form 6-K is being furnished for the purpose of incorporating by reference the information in this Form 6-K into (a) Registration Statement No. 333-208911 on Form S-8, and (b) Registration Statement No. 333-258254 on Form F-3 and related prospectuses, as such registration statements and prospectuses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6360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10020"/>
          </w:cols>
          <w:pgMar w:left="1080" w:top="273" w:right="7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540" w:type="dxa"/>
            <w:vAlign w:val="bottom"/>
          </w:tcPr>
          <w:p>
            <w:pPr>
              <w:spacing w:after="0"/>
              <w:rPr>
                <w:sz w:val="12"/>
                <w:szCs w:val="12"/>
                <w:color w:val="auto"/>
              </w:rPr>
            </w:pPr>
          </w:p>
        </w:tc>
        <w:tc>
          <w:tcPr>
            <w:tcW w:w="7480" w:type="dxa"/>
            <w:vAlign w:val="bottom"/>
            <w:gridSpan w:val="3"/>
          </w:tcPr>
          <w:p>
            <w:pPr>
              <w:ind w:left="2460"/>
              <w:spacing w:after="0"/>
              <w:rPr>
                <w:sz w:val="20"/>
                <w:szCs w:val="20"/>
                <w:color w:val="auto"/>
              </w:rPr>
            </w:pPr>
            <w:r>
              <w:rPr>
                <w:rFonts w:ascii="Times New Roman" w:cs="Times New Roman" w:eastAsia="Times New Roman" w:hAnsi="Times New Roman"/>
                <w:sz w:val="12"/>
                <w:szCs w:val="12"/>
                <w:color w:val="auto"/>
              </w:rPr>
              <w:t>Date: May 5, 2026</w:t>
            </w:r>
          </w:p>
        </w:tc>
      </w:tr>
      <w:tr>
        <w:trPr>
          <w:trHeight w:val="155"/>
        </w:trPr>
        <w:tc>
          <w:tcPr>
            <w:tcW w:w="25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80" w:type="dxa"/>
            <w:vAlign w:val="bottom"/>
            <w:gridSpan w:val="3"/>
          </w:tcPr>
          <w:p>
            <w:pPr>
              <w:ind w:left="2460"/>
              <w:spacing w:after="0"/>
              <w:rPr>
                <w:sz w:val="20"/>
                <w:szCs w:val="20"/>
                <w:color w:val="auto"/>
              </w:rPr>
            </w:pPr>
            <w:r>
              <w:rPr>
                <w:rFonts w:ascii="Times New Roman" w:cs="Times New Roman" w:eastAsia="Times New Roman" w:hAnsi="Times New Roman"/>
                <w:sz w:val="12"/>
                <w:szCs w:val="12"/>
                <w:color w:val="auto"/>
              </w:rPr>
              <w:t>FERROGLOBE PLC</w:t>
            </w:r>
          </w:p>
        </w:tc>
      </w:tr>
      <w:tr>
        <w:trPr>
          <w:trHeight w:val="304"/>
        </w:trPr>
        <w:tc>
          <w:tcPr>
            <w:tcW w:w="2540" w:type="dxa"/>
            <w:vAlign w:val="bottom"/>
          </w:tcPr>
          <w:p>
            <w:pPr>
              <w:spacing w:after="0"/>
              <w:rPr>
                <w:sz w:val="24"/>
                <w:szCs w:val="24"/>
                <w:color w:val="auto"/>
              </w:rPr>
            </w:pPr>
          </w:p>
        </w:tc>
        <w:tc>
          <w:tcPr>
            <w:tcW w:w="7480" w:type="dxa"/>
            <w:vAlign w:val="bottom"/>
            <w:gridSpan w:val="3"/>
          </w:tcPr>
          <w:p>
            <w:pPr>
              <w:ind w:left="2460"/>
              <w:spacing w:after="0"/>
              <w:rPr>
                <w:sz w:val="20"/>
                <w:szCs w:val="20"/>
                <w:color w:val="auto"/>
              </w:rPr>
            </w:pPr>
            <w:r>
              <w:rPr>
                <w:rFonts w:ascii="Times New Roman" w:cs="Times New Roman" w:eastAsia="Times New Roman" w:hAnsi="Times New Roman"/>
                <w:sz w:val="12"/>
                <w:szCs w:val="12"/>
                <w:color w:val="auto"/>
              </w:rPr>
              <w:t>by   /s/ Marco Levi</w:t>
            </w:r>
          </w:p>
        </w:tc>
      </w:tr>
      <w:tr>
        <w:trPr>
          <w:trHeight w:val="133"/>
        </w:trPr>
        <w:tc>
          <w:tcPr>
            <w:tcW w:w="25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6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Name: Marco Levi</w:t>
            </w:r>
          </w:p>
        </w:tc>
        <w:tc>
          <w:tcPr>
            <w:tcW w:w="20" w:type="dxa"/>
            <w:vAlign w:val="bottom"/>
          </w:tcPr>
          <w:p>
            <w:pPr>
              <w:spacing w:after="0"/>
              <w:rPr>
                <w:sz w:val="11"/>
                <w:szCs w:val="11"/>
                <w:color w:val="auto"/>
              </w:rPr>
            </w:pPr>
          </w:p>
        </w:tc>
      </w:tr>
      <w:tr>
        <w:trPr>
          <w:trHeight w:val="155"/>
        </w:trPr>
        <w:tc>
          <w:tcPr>
            <w:tcW w:w="25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Chief Executive Officer (Principal Executive Officer)</w:t>
            </w:r>
          </w:p>
        </w:tc>
      </w:tr>
      <w:tr>
        <w:trPr>
          <w:trHeight w:val="799"/>
        </w:trPr>
        <w:tc>
          <w:tcPr>
            <w:tcW w:w="2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020"/>
          </w:cols>
          <w:pgMar w:left="1080" w:top="125"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Ferroglobe Reports First Quarter 2026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First Quarter Highlights</w:t>
      </w:r>
    </w:p>
    <w:p>
      <w:pPr>
        <w:spacing w:after="0" w:line="150" w:lineRule="exact"/>
        <w:rPr>
          <w:sz w:val="20"/>
          <w:szCs w:val="20"/>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Strong increase in ferroalloys due to trade measures and increasing steel production in the U.S.</w:t>
      </w:r>
    </w:p>
    <w:p>
      <w:pPr>
        <w:spacing w:after="0" w:line="17" w:lineRule="exact"/>
        <w:rPr>
          <w:rFonts w:ascii="Times New Roman" w:cs="Times New Roman" w:eastAsia="Times New Roman" w:hAnsi="Times New Roman"/>
          <w:sz w:val="13"/>
          <w:szCs w:val="13"/>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EU Trade Commissioner committed to helping the silicon metal industry</w:t>
      </w:r>
    </w:p>
    <w:p>
      <w:pPr>
        <w:spacing w:after="0" w:line="3" w:lineRule="exact"/>
        <w:rPr>
          <w:rFonts w:ascii="Times New Roman" w:cs="Times New Roman" w:eastAsia="Times New Roman" w:hAnsi="Times New Roman"/>
          <w:sz w:val="13"/>
          <w:szCs w:val="13"/>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Actively pursuing a potential restart of cost-competitive Venezuelan operations</w:t>
      </w:r>
    </w:p>
    <w:p>
      <w:pPr>
        <w:spacing w:after="0" w:line="3" w:lineRule="exact"/>
        <w:rPr>
          <w:rFonts w:ascii="Times New Roman" w:cs="Times New Roman" w:eastAsia="Times New Roman" w:hAnsi="Times New Roman"/>
          <w:sz w:val="13"/>
          <w:szCs w:val="13"/>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Expertise in critical materials unlocks new growth opportunities as the U.S. and EU policy pivots toward domestically anchored supply chains</w:t>
      </w:r>
    </w:p>
    <w:p>
      <w:pPr>
        <w:spacing w:after="0" w:line="3" w:lineRule="exact"/>
        <w:rPr>
          <w:rFonts w:ascii="Times New Roman" w:cs="Times New Roman" w:eastAsia="Times New Roman" w:hAnsi="Times New Roman"/>
          <w:sz w:val="13"/>
          <w:szCs w:val="13"/>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first quarter adjusted EBITDA of $3.3 million</w:t>
      </w:r>
    </w:p>
    <w:p>
      <w:pPr>
        <w:spacing w:after="0" w:line="3" w:lineRule="exact"/>
        <w:rPr>
          <w:rFonts w:ascii="Times New Roman" w:cs="Times New Roman" w:eastAsia="Times New Roman" w:hAnsi="Times New Roman"/>
          <w:sz w:val="13"/>
          <w:szCs w:val="13"/>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Ended the quarter with total cash of $96.4 million and net debt of $54.6 million</w:t>
      </w:r>
    </w:p>
    <w:p>
      <w:pPr>
        <w:spacing w:after="0" w:line="3" w:lineRule="exact"/>
        <w:rPr>
          <w:rFonts w:ascii="Times New Roman" w:cs="Times New Roman" w:eastAsia="Times New Roman" w:hAnsi="Times New Roman"/>
          <w:sz w:val="13"/>
          <w:szCs w:val="13"/>
          <w:color w:val="auto"/>
        </w:rPr>
      </w:pPr>
    </w:p>
    <w:p>
      <w:pPr>
        <w:ind w:left="320" w:hanging="160"/>
        <w:spacing w:after="0"/>
        <w:tabs>
          <w:tab w:leader="none" w:pos="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Paid quarterly dividend of $0.015 per share on March 30; Next dividend of $0.015 payable on June 29</w:t>
      </w:r>
    </w:p>
    <w:p>
      <w:pPr>
        <w:spacing w:after="0" w:line="29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LONDON, May 5, 2026 (GLOBE NEWSWIRE) – Ferroglobe PLC (NASDAQ: GSM) (“Ferroglobe”, the “Company”, or the “Parent”), a leading global producer of silicon metal, silicon-based and manganese-based specialty alloys, today announced financial results for the first quarter of 2026.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Highlights</w:t>
      </w:r>
    </w:p>
    <w:tbl>
      <w:tblPr>
        <w:tblLayout w:type="fixed"/>
        <w:tblInd w:w="22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2660" w:type="dxa"/>
            <w:vAlign w:val="bottom"/>
          </w:tcPr>
          <w:p>
            <w:pPr>
              <w:ind w:left="25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restart"/>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Q1 2026</w:t>
            </w:r>
          </w:p>
        </w:tc>
        <w:tc>
          <w:tcPr>
            <w:tcW w:w="420" w:type="dxa"/>
            <w:vAlign w:val="bottom"/>
            <w:gridSpan w:val="2"/>
          </w:tcPr>
          <w:p>
            <w:pPr>
              <w:jc w:val="right"/>
              <w:ind w:right="3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Q4 2025</w:t>
            </w:r>
          </w:p>
        </w:tc>
        <w:tc>
          <w:tcPr>
            <w:tcW w:w="840" w:type="dxa"/>
            <w:vAlign w:val="bottom"/>
          </w:tcPr>
          <w:p>
            <w:pPr>
              <w:jc w:val="right"/>
              <w:ind w:right="323"/>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9"/>
                <w:szCs w:val="9"/>
                <w:color w:val="auto"/>
              </w:rPr>
            </w:pP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Q1 2025</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right"/>
              <w:ind w:right="343"/>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15"/>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in millions, except EPS)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Q/Q</w:t>
            </w: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Y/Y</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329.4</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307.2</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the parent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040" w:type="dxa"/>
            <w:vAlign w:val="bottom"/>
            <w:gridSpan w:val="2"/>
          </w:tcPr>
          <w:p>
            <w:pPr>
              <w:jc w:val="right"/>
              <w:ind w:right="79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 EBITDA</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0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Adjusted diluted EPS</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40" w:type="dxa"/>
            <w:vAlign w:val="bottom"/>
            <w:gridSpan w:val="2"/>
          </w:tcPr>
          <w:p>
            <w:pPr>
              <w:jc w:val="right"/>
              <w:ind w:right="79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cash flow</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0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Capital expenditures</w:t>
            </w:r>
            <w:r>
              <w:rPr>
                <w:rFonts w:ascii="Times New Roman" w:cs="Times New Roman" w:eastAsia="Times New Roman" w:hAnsi="Times New Roman"/>
                <w:sz w:val="15"/>
                <w:szCs w:val="15"/>
                <w:color w:val="auto"/>
                <w:vertAlign w:val="superscript"/>
              </w:rPr>
              <w:t>1</w:t>
            </w:r>
          </w:p>
        </w:tc>
        <w:tc>
          <w:tcPr>
            <w:tcW w:w="2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10.9</w:t>
            </w:r>
          </w:p>
        </w:tc>
        <w:tc>
          <w:tcPr>
            <w:tcW w:w="4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14.2</w:t>
            </w:r>
          </w:p>
        </w:tc>
        <w:tc>
          <w:tcPr>
            <w:tcW w:w="1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(23.7)%</w:t>
            </w:r>
          </w:p>
        </w:tc>
        <w:tc>
          <w:tcPr>
            <w:tcW w:w="1040" w:type="dxa"/>
            <w:vAlign w:val="bottom"/>
            <w:gridSpan w:val="2"/>
          </w:tcPr>
          <w:p>
            <w:pPr>
              <w:jc w:val="right"/>
              <w:ind w:right="79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14.3</w:t>
            </w:r>
          </w:p>
        </w:tc>
        <w:tc>
          <w:tcPr>
            <w:tcW w:w="16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154"/>
        </w:trPr>
        <w:tc>
          <w:tcPr>
            <w:tcW w:w="2680" w:type="dxa"/>
            <w:vAlign w:val="bottom"/>
            <w:gridSpan w:val="2"/>
          </w:tcPr>
          <w:p>
            <w:pPr>
              <w:spacing w:after="0" w:line="154" w:lineRule="exact"/>
              <w:rPr>
                <w:sz w:val="20"/>
                <w:szCs w:val="20"/>
                <w:color w:val="auto"/>
              </w:rPr>
            </w:pPr>
            <w:r>
              <w:rPr>
                <w:rFonts w:ascii="Times New Roman" w:cs="Times New Roman" w:eastAsia="Times New Roman" w:hAnsi="Times New Roman"/>
                <w:sz w:val="12"/>
                <w:szCs w:val="12"/>
                <w:color w:val="auto"/>
              </w:rPr>
              <w:t>Free cash flow</w:t>
            </w:r>
            <w:r>
              <w:rPr>
                <w:rFonts w:ascii="Times New Roman" w:cs="Times New Roman" w:eastAsia="Times New Roman" w:hAnsi="Times New Roman"/>
                <w:sz w:val="17"/>
                <w:szCs w:val="17"/>
                <w:color w:val="auto"/>
                <w:vertAlign w:val="superscript"/>
              </w:rPr>
              <w:t>2</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040" w:type="dxa"/>
            <w:vAlign w:val="bottom"/>
            <w:gridSpan w:val="2"/>
          </w:tcPr>
          <w:p>
            <w:pPr>
              <w:jc w:val="right"/>
              <w:ind w:right="79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-90170</wp:posOffset>
            </wp:positionV>
            <wp:extent cx="5612130" cy="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12130" cy="91440"/>
                    </a:xfrm>
                    <a:prstGeom prst="rect">
                      <a:avLst/>
                    </a:prstGeom>
                    <a:noFill/>
                  </pic:spPr>
                </pic:pic>
              </a:graphicData>
            </a:graphic>
          </wp:anchor>
        </w:drawing>
      </w:r>
    </w:p>
    <w:p>
      <w:pPr>
        <w:ind w:left="860" w:hanging="214"/>
        <w:spacing w:after="0"/>
        <w:tabs>
          <w:tab w:leader="none" w:pos="86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7"/>
          <w:szCs w:val="7"/>
          <w:color w:val="auto"/>
        </w:rPr>
        <w:t>Cash outflows for capital expenditures</w:t>
      </w:r>
    </w:p>
    <w:p>
      <w:pPr>
        <w:ind w:left="860" w:hanging="214"/>
        <w:spacing w:after="0"/>
        <w:tabs>
          <w:tab w:leader="none" w:pos="86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7"/>
          <w:szCs w:val="7"/>
          <w:color w:val="auto"/>
        </w:rPr>
        <w:t>Free cash flow is calculated as operating cash flow less capital expenditures</w:t>
      </w:r>
    </w:p>
    <w:p>
      <w:pPr>
        <w:spacing w:after="0" w:line="2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Dr. Marco Levi, Ferroglobe’s Chief Executive Officer, commented, “We delivered a strong increase in first quarter ferroalloy shipment volumes in both the EU and the U.S, driven primarily by recently enacted trade measures. While volumes improved, pricing did not keep pace with higher costs, particularly in logistics and raw materials, resulting in margin compression. We view these cost pressures as temporary and expect pricing conditions to improve in the second half of the year.</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“We see significant opportunities to diversify both our footprint and product mix, directly supporting our long-term strategic growth strategy. In Venezuela, we own four furnaces with more than 100,000 tons of incremental capacity, with the flexibility to produce across all our core product segments. Beyond this, we are actively evaluating which critical materials are most economically viable to produce, leveraging our established Western footprint and past production experience. The newly signed U.S. and EU strategic partnership on critical materials signals a structural shift, strengthening our position as markets increasingly prioritize secure, domestic supply chains for strategic materials,” concluded Dr. Levi.</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Consolidated Sales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In the first quarter of 2026, Ferroglobe reported sales of $347.7 million, a 5.6% increase from the prior quarter and a 13.2% increase from the comparable prior-year period. This improvement was mainly driven by higher sales volumes of silicon-based alloys and manganese-based alloys, as well as a higher average selling price for manganese-based alloys, partially offset by lower volumes and average selling price for silicon metals. Silicon-based alloys prices remained stable during the quarter. Sales of silicon metal decreased by $12.4 million from the prior quarter, while silicon-based alloys and manganese-based alloys increased by $18.7 million and $14.5 million, respectively, compared with the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408305</wp:posOffset>
            </wp:positionV>
            <wp:extent cx="6360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10000"/>
          </w:cols>
          <w:pgMar w:left="1080" w:top="121"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Product Category Highlights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Silicon Metal</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($,000)</w:t>
            </w:r>
          </w:p>
        </w:tc>
        <w:tc>
          <w:tcPr>
            <w:tcW w:w="2240" w:type="dxa"/>
            <w:vAlign w:val="bottom"/>
            <w:gridSpan w:val="3"/>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Q4 2025</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 Q/Q</w:t>
            </w:r>
          </w:p>
        </w:tc>
        <w:tc>
          <w:tcPr>
            <w:tcW w:w="1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Q1 2025</w:t>
            </w: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 Y/Y</w:t>
            </w:r>
          </w:p>
        </w:tc>
        <w:tc>
          <w:tcPr>
            <w:tcW w:w="0" w:type="dxa"/>
            <w:vAlign w:val="bottom"/>
          </w:tcPr>
          <w:p>
            <w:pPr>
              <w:spacing w:after="0"/>
              <w:rPr>
                <w:sz w:val="1"/>
                <w:szCs w:val="1"/>
                <w:color w:val="auto"/>
              </w:rPr>
            </w:pPr>
          </w:p>
        </w:tc>
      </w:tr>
      <w:tr>
        <w:trPr>
          <w:trHeight w:val="115"/>
        </w:trPr>
        <w:tc>
          <w:tcPr>
            <w:tcW w:w="25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Q1 2026</w:t>
            </w:r>
          </w:p>
        </w:tc>
        <w:tc>
          <w:tcPr>
            <w:tcW w:w="136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Borders>
              <w:top w:val="single" w:sz="8" w:color="CCEEFF"/>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Shipments in metric tons:</w:t>
            </w:r>
          </w:p>
        </w:tc>
        <w:tc>
          <w:tcPr>
            <w:tcW w:w="8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30,533</w:t>
            </w:r>
          </w:p>
        </w:tc>
        <w:tc>
          <w:tcPr>
            <w:tcW w:w="16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w:t>
            </w:r>
          </w:p>
        </w:tc>
        <w:tc>
          <w:tcPr>
            <w:tcW w:w="16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36,308</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Average selling price ($/MT):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2,754</w:t>
            </w:r>
          </w:p>
        </w:tc>
        <w:tc>
          <w:tcPr>
            <w:tcW w:w="1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2,957</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2,881</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Silicon Metal Revenue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84,088</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96,499</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104,603</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Silicon Metal Adj.EBITDA</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(2,275)</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885</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(357.1)%</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(15,447)</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Silicon Metal Adj.EBITDA Margin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Silicon metal revenue in the first quarter was $84.1 million, a decrease of 12.9% from the prior quarter. The average selling price decreased 6.9%, driven by lower pricing in the U.S. and Europe amid a more competitive market environment and cautious customer purchasing in key end-markets, particularly in Europe, partially offset by a slight increase in South Africa. Shipments decreased 6.4%, primarily reflecting lower volumes in EMEA, partially offset by higher volumes in the U.S. Adjusted EBITDA decreased to $(2.3) million in the first quarter, compared with $0.9 million in the prior quarter, reflecting lower realized pricing and shipments, partially offset by strong cost performance in Canada. Adjusted EBITDA margin decreased to (2.7%) in the first quarter from 0.9% in the prior quarter.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Silicon-Based Alloys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80" w:type="dxa"/>
            <w:vAlign w:val="bottom"/>
          </w:tcPr>
          <w:p>
            <w:pPr>
              <w:ind w:left="3400"/>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vMerge w:val="restart"/>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Q1 2026</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 Q/Q</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 Y/Y</w:t>
            </w:r>
          </w:p>
        </w:tc>
        <w:tc>
          <w:tcPr>
            <w:tcW w:w="0" w:type="dxa"/>
            <w:vAlign w:val="bottom"/>
          </w:tcPr>
          <w:p>
            <w:pPr>
              <w:spacing w:after="0"/>
              <w:rPr>
                <w:sz w:val="1"/>
                <w:szCs w:val="1"/>
                <w:color w:val="auto"/>
              </w:rPr>
            </w:pPr>
          </w:p>
        </w:tc>
      </w:tr>
      <w:tr>
        <w:trPr>
          <w:trHeight w:val="115"/>
        </w:trPr>
        <w:tc>
          <w:tcPr>
            <w:tcW w:w="3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($,000)</w:t>
            </w:r>
          </w:p>
        </w:tc>
        <w:tc>
          <w:tcPr>
            <w:tcW w:w="13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Q4 2025</w:t>
            </w: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Q1 2025</w:t>
            </w: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8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Shipments in metric tons:</w:t>
            </w: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60,674</w:t>
            </w: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51,279</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42,864</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41.6%</w:t>
            </w:r>
          </w:p>
        </w:tc>
        <w:tc>
          <w:tcPr>
            <w:tcW w:w="0" w:type="dxa"/>
            <w:vAlign w:val="bottom"/>
          </w:tcPr>
          <w:p>
            <w:pPr>
              <w:spacing w:after="0"/>
              <w:rPr>
                <w:sz w:val="1"/>
                <w:szCs w:val="1"/>
                <w:color w:val="auto"/>
              </w:rPr>
            </w:pPr>
          </w:p>
        </w:tc>
      </w:tr>
      <w:tr>
        <w:trPr>
          <w:trHeight w:val="144"/>
        </w:trPr>
        <w:tc>
          <w:tcPr>
            <w:tcW w:w="3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selling price ($/MT):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14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2,120</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53"/>
        </w:trPr>
        <w:tc>
          <w:tcPr>
            <w:tcW w:w="3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Silicon-based Alloys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122,319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103,584</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90,872</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0" w:type="dxa"/>
            <w:vAlign w:val="bottom"/>
          </w:tcPr>
          <w:p>
            <w:pPr>
              <w:spacing w:after="0"/>
              <w:rPr>
                <w:sz w:val="1"/>
                <w:szCs w:val="1"/>
                <w:color w:val="auto"/>
              </w:rPr>
            </w:pPr>
          </w:p>
        </w:tc>
      </w:tr>
      <w:tr>
        <w:trPr>
          <w:trHeight w:val="15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Silicon-based Alloys Adj.EBITDA</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6,850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15,503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2,414</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w:t>
            </w:r>
          </w:p>
        </w:tc>
        <w:tc>
          <w:tcPr>
            <w:tcW w:w="0" w:type="dxa"/>
            <w:vAlign w:val="bottom"/>
          </w:tcPr>
          <w:p>
            <w:pPr>
              <w:spacing w:after="0"/>
              <w:rPr>
                <w:sz w:val="1"/>
                <w:szCs w:val="1"/>
                <w:color w:val="auto"/>
              </w:rPr>
            </w:pPr>
          </w:p>
        </w:tc>
      </w:tr>
      <w:tr>
        <w:trPr>
          <w:trHeight w:val="159"/>
        </w:trPr>
        <w:tc>
          <w:tcPr>
            <w:tcW w:w="3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Silicon-based Alloys Adj.EBITDA Margin</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Silicon-based alloy revenue in the first quarter was $122.3 million, an increase of 18.1% from the prior quarter. The average selling price was stable, as higher realizations in Europe were largely offset by softer pricing in the U.S. and South Africa, where market conditions remained competitive. Shipments increased 18.3%, reflecting a broad-based improvement across regions, with the most significant increase in the U.S., supported by improved demand and customer restocking in steel and foundry applications. Adjusted EBITDA decreased to $6.8 million in the first quarter of 2026, down from $15.5 million in the prior quarter, primarily reflecting higher production costs, which more than offset the benefit from higher volumes. Adjusted EBITDA margin decreased to 5.6% in the first quarter, compared with 15.0% in the prior quarter.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Manganese-Based Alloys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ind w:left="3760"/>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vMerge w:val="restart"/>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Q1 2026</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 Q/Q</w:t>
            </w:r>
          </w:p>
        </w:tc>
        <w:tc>
          <w:tcPr>
            <w:tcW w:w="1400" w:type="dxa"/>
            <w:vAlign w:val="bottom"/>
            <w:gridSpan w:val="3"/>
          </w:tcPr>
          <w:p>
            <w:pPr>
              <w:jc w:val="right"/>
              <w:ind w:right="12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 Y/Y</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($,000)</w:t>
            </w:r>
          </w:p>
        </w:tc>
        <w:tc>
          <w:tcPr>
            <w:tcW w:w="1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0"/>
                <w:szCs w:val="10"/>
                <w:b w:val="1"/>
                <w:bCs w:val="1"/>
                <w:color w:val="auto"/>
              </w:rPr>
              <w:t>Q4 2025</w:t>
            </w:r>
          </w:p>
        </w:tc>
        <w:tc>
          <w:tcPr>
            <w:tcW w:w="7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Q1 2025</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84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Shipments in metric tons:</w:t>
            </w: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85,743</w:t>
            </w:r>
          </w:p>
        </w:tc>
        <w:tc>
          <w:tcPr>
            <w:tcW w:w="1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80,778</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1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67,229</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w:t>
            </w:r>
          </w:p>
        </w:tc>
        <w:tc>
          <w:tcPr>
            <w:tcW w:w="0" w:type="dxa"/>
            <w:vAlign w:val="bottom"/>
          </w:tcPr>
          <w:p>
            <w:pPr>
              <w:spacing w:after="0"/>
              <w:rPr>
                <w:sz w:val="1"/>
                <w:szCs w:val="1"/>
                <w:color w:val="auto"/>
              </w:rPr>
            </w:pPr>
          </w:p>
        </w:tc>
      </w:tr>
      <w:tr>
        <w:trPr>
          <w:trHeight w:val="144"/>
        </w:trPr>
        <w:tc>
          <w:tcPr>
            <w:tcW w:w="3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selling price ($/MT):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1,147</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Manganese-based Alloys 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107,179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92,652</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74,490</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Manganese-based Alloys Adj.EBITDA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10,014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8,681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(5,574)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Manganese-based Alloys Adj.EBITDA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(7.5)%</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Manganese-based alloy revenue in the first quarter was $107.2 million, an increase of 15.7% from the prior quarter. The average selling price increased 9.0%, driven by higher pricing in Europe, partially offset by a slight decrease in the U.S. Shipments increased 6.1%, reflecting solid volume growth in Europe as steel-related demand for domestic manganese alloys improved. Adjusted EBITDA increased to $10.0 million in the first quarter, compared with $8.7 million in the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63607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10020"/>
          </w:cols>
          <w:pgMar w:left="1080" w:top="429" w:right="799" w:bottom="1440" w:gutter="0" w:footer="0" w:header="0"/>
        </w:sectPr>
      </w:pPr>
    </w:p>
    <w:bookmarkStart w:id="5" w:name="page6"/>
    <w:bookmarkEnd w:id="5"/>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supported by higher volumes and prices, offset by higher manganese ore, energy, and transportation costs. Adjusted EBITDA margin was 9.3%, broadly in line with 9.4% in the prior quarter.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Raw materials and energy consumption for production</w:t>
      </w:r>
    </w:p>
    <w:p>
      <w:pPr>
        <w:spacing w:after="0" w:line="15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Raw materials and energy consumption for production decreased to 64.3% of sales in the first quarter of 2026, compared with 79.4% in the prior quarter. This improvement was primarily driven by the absence of the $40.2 million fair value loss related to long term energy contracts recognized in the fourth quarter of 2025, as well as the recognition of a positive fair value adjustment of $5.5 million in the first quarter of 2026. Improved production levels and better fixed cost absorption also contributed to the sequential improvement. Excluding the impact of power purchase agreements, raw materials and energy consumption represented 65.9% of revenue in the first quarter of 2026, compared with 67.2% in the prior quarter.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(Loss) Attributable to the Parent</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In the first quarter of 2026, net loss attributable to the parent was $7.1 million, or $(0.04) per diluted share, compared to a net loss attributable to the parent of $81.0 million, or $(0.43) per diluted share, in the prior quarter. The quarter over quarter improvement was primarily driven by the absence of the $40.2 million negative fair value remeasurement impacts related to long-term energy contracts recorded in the fourth quarter, as well as the absence of an impairment charge of $17.7 million and additional depreciation of $12.6 million recognized in the prior quarter. Results in the first quarter of 2026 also benefited from improved operating leverage, partially offset by higher selling-related expenses associated with increased sales volumes. The Company reported adjusted diluted earnings per share of $(0.07) for the first quarter of 2026, compared with $(0.06) in the prior quarter.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EBITDA</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Adjusted EBITDA declined to $3.3 million in the first quarter of 2026, compared to $14.6 million for the prior quarter. The prior quarter benefited from a one time positive impact of approximately $12 million related to the modification of a lease liability agreement. During the first quarter of 2026, operating performance improved, supported by stronger volumes and continued cost efficiency initiatives, partially offset by higher selling and distribution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Total Cash, Adjusted Gross Debt and Working Capital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Q1 2026</w:t>
            </w: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Q4 2025</w:t>
            </w:r>
          </w:p>
        </w:tc>
        <w:tc>
          <w:tcPr>
            <w:tcW w:w="800" w:type="dxa"/>
            <w:vAlign w:val="bottom"/>
            <w:vMerge w:val="restart"/>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c>
          <w:tcPr>
            <w:tcW w:w="800" w:type="dxa"/>
            <w:vAlign w:val="bottom"/>
            <w:vMerge w:val="restart"/>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Q1 2025</w:t>
            </w:r>
          </w:p>
        </w:tc>
        <w:tc>
          <w:tcPr>
            <w:tcW w:w="880" w:type="dxa"/>
            <w:vAlign w:val="bottom"/>
            <w:vMerge w:val="restart"/>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in millions)</w:t>
            </w:r>
          </w:p>
        </w:tc>
        <w:tc>
          <w:tcPr>
            <w:tcW w:w="2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Y/Y</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Total Cash</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(26.6)</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129.6</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(33.2)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Adjusted Gross Debt</w:t>
            </w:r>
            <w:r>
              <w:rPr>
                <w:rFonts w:ascii="Times New Roman" w:cs="Times New Roman" w:eastAsia="Times New Roman" w:hAnsi="Times New Roman"/>
                <w:sz w:val="17"/>
                <w:szCs w:val="17"/>
                <w:color w:val="auto"/>
                <w:vertAlign w:val="superscript"/>
              </w:rPr>
              <w:t>2</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151.0</w:t>
            </w:r>
          </w:p>
        </w:tc>
        <w:tc>
          <w:tcPr>
            <w:tcW w:w="40" w:type="dxa"/>
            <w:vAlign w:val="bottom"/>
          </w:tcPr>
          <w:p>
            <w:pPr>
              <w:spacing w:after="0"/>
              <w:rPr>
                <w:sz w:val="13"/>
                <w:szCs w:val="13"/>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w:t>
            </w: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160" w:type="dxa"/>
            <w:vAlign w:val="bottom"/>
          </w:tcPr>
          <w:p>
            <w:pPr>
              <w:spacing w:after="0"/>
              <w:rPr>
                <w:sz w:val="13"/>
                <w:szCs w:val="13"/>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40.6</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(Debt) Cash</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(29.8)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(83.3)%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(73.8)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0" w:type="dxa"/>
            <w:vAlign w:val="bottom"/>
          </w:tcPr>
          <w:p>
            <w:pPr>
              <w:spacing w:after="0" w:line="143" w:lineRule="exact"/>
              <w:rPr>
                <w:sz w:val="20"/>
                <w:szCs w:val="20"/>
                <w:color w:val="auto"/>
              </w:rPr>
            </w:pPr>
            <w:r>
              <w:rPr>
                <w:rFonts w:ascii="Times New Roman" w:cs="Times New Roman" w:eastAsia="Times New Roman" w:hAnsi="Times New Roman"/>
                <w:sz w:val="11"/>
                <w:szCs w:val="11"/>
                <w:color w:val="auto"/>
              </w:rPr>
              <w:t>Total Working Capital</w:t>
            </w:r>
            <w:r>
              <w:rPr>
                <w:rFonts w:ascii="Times New Roman" w:cs="Times New Roman" w:eastAsia="Times New Roman" w:hAnsi="Times New Roman"/>
                <w:sz w:val="16"/>
                <w:szCs w:val="16"/>
                <w:color w:val="auto"/>
                <w:vertAlign w:val="superscript"/>
              </w:rPr>
              <w:t>3</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431.2</w:t>
            </w:r>
          </w:p>
        </w:tc>
        <w:tc>
          <w:tcPr>
            <w:tcW w:w="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427.5</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435.7</w:t>
            </w:r>
          </w:p>
        </w:tc>
        <w:tc>
          <w:tcPr>
            <w:tcW w:w="160" w:type="dxa"/>
            <w:vAlign w:val="bottom"/>
          </w:tcPr>
          <w:p>
            <w:pPr>
              <w:spacing w:after="0"/>
              <w:rPr>
                <w:sz w:val="12"/>
                <w:szCs w:val="12"/>
                <w:color w:val="auto"/>
              </w:rPr>
            </w:pP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160"/>
        <w:spacing w:after="0"/>
        <w:tabs>
          <w:tab w:leader="none" w:pos="320"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7"/>
          <w:szCs w:val="7"/>
          <w:color w:val="auto"/>
        </w:rPr>
        <w:t>Total cash is comprised of restricted cash and cash and cash equivalents</w:t>
      </w:r>
    </w:p>
    <w:p>
      <w:pPr>
        <w:ind w:left="340" w:hanging="172"/>
        <w:spacing w:after="0"/>
        <w:tabs>
          <w:tab w:leader="none" w:pos="340"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7"/>
          <w:szCs w:val="7"/>
          <w:color w:val="auto"/>
        </w:rPr>
        <w:t>Adjusted gross debt excludes bank borrowings on our factoring program and the impact of leasing standard IFRS16</w:t>
      </w:r>
    </w:p>
    <w:p>
      <w:pPr>
        <w:ind w:left="340" w:hanging="172"/>
        <w:spacing w:after="0"/>
        <w:tabs>
          <w:tab w:leader="none" w:pos="340"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7"/>
          <w:szCs w:val="7"/>
          <w:color w:val="auto"/>
        </w:rPr>
        <w:t>Total working capital is comprised of inventories, trade receivables and other receivables minus trade and other payables</w:t>
      </w:r>
    </w:p>
    <w:p>
      <w:pPr>
        <w:spacing w:after="0" w:line="29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Total cash was $96.4 million as of March 31, 2026, a decrease of $26.6 million from $123.0 million as of December 31, 2025. Adjusted gross debt decreased by $1.8 million to $151.0 million, resulting in net debt of $54.6 million as of March 31, 2026. This represents an increase of $24.8 million from the prior quarter.</w:t>
      </w:r>
    </w:p>
    <w:p>
      <w:pPr>
        <w:spacing w:after="0" w:line="1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During the first quarter, cash flows used in operating activities were $5.6 million, and net cash used in investing activities was $17.1 million. Cash used in financing activities was $3.3 million as a result of lease payments of $3.9 million, dividend payments of $2.8 million, interest payments of $2.4 million, and the principal repayments of other financing liabilities of $0.7 million, partially offset proceeds from financing facilities in South Africa, France and Spain totaling $3.4 million, net cash proceeds from the sale of short-term commercial paper totaling $3.1 million.</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Total working capital was $431.2 million as of March 31, 2026, an increase of $3.7 million from $427.5 million at the end of the prior quarter. The increase in our working capital balance during the quarter was primarily driven by increases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301625</wp:posOffset>
            </wp:positionV>
            <wp:extent cx="63607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10020"/>
          </w:cols>
          <w:pgMar w:left="1080" w:top="125" w:right="7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$28.1 million in inventories, $20.9 million in trade receivables, and $16.8 million in other receivables, partially offset by a $62.1 million increase in trade and other payables.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Beatriz García-Cos, Ferroglobe’s Chief Financial Officer, commented, “We delivered solid sales in the first quarter, with revenue increasing almost 6%, driven by higher volumes in our silicon-based alloy and manganese-based alloy segments. However, lower silicon metal prices and margin compression in silicon-based alloys impacted profitability, resulting in adjusted EBITDA of $3.3 million, compared with $14.6 million in the fourth quarter. The conflict in Iran created a challenging operating environment during the quarter, with higher transportation, logistics, and raw material costs, primarily manganese ore and coal, without a corresponding improvement in our realized prices. While these pressures affected adjusted EBITDA and resulted in negative free cash flow, we maintained disciplined capital expenditure management. Importantly, we ended the quarter with a solid liquidity position, including $96.4 million of total cash and a manageable net debt level of $54.6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 Returns</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During the first quarter, Ferroglobe repurchased 5,140 shares at an average price of $3.90 per share and paid a quarterly cash dividend of $ 0.015 per share on March 30, 2026. Our next cash dividend of $0.015 per share will be paid on June 29, 2026, to shareholders of record as of June 22,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Conference Call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Ferroglobe invites all interested persons to participate on our conference call at 8:30 AM, Eastern Time on May 6, 2026. The call may also be accessed via an audio webcast.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join via phone: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Conference call participants should pre-register using this link: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https://register-conf.media-server.com/register/BIa208b4cf9feb40e1baae1852662f7210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Once registered, you will receive the dial-in numbers and a personal PIN, which are required to access the conference call.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join via webcast: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simultaneous audio webcast and replay will be accessible here: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https://edge.media-server.com/mmc/p/sfxcprpy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Ferroglobe</w:t>
      </w:r>
    </w:p>
    <w:p>
      <w:pPr>
        <w:spacing w:after="0" w:line="1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Ferroglobe PLC is a leading global producer of silicon metal, silicon- and manganese- based specialty alloys and ferroalloys, serving a customer base across the globe in dynamic and fast-growing end markets, such as solar, electronics, automotive, consumer products, construction, and energy. The Company is based in London. For more information, visit http://investor.ferroglobe.com.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This release contains “forward-looking statements” within the meaning of U.S. securities laws. Forward-looking statements are not historical facts but are based on certain assumptions of management and describe the Company’s future plans, strategies and expectations. Forward-looking statements often use forward-looking terminology, including words such as “anticipate”, “believe”, “could”, “estimate”, “expect”, “should”,“forecast”, “guidance”, “intends”, “likely”, “may”, “plan”, “potential”, “predicts”, “seek”, “target”, “will” and words of similar meaning or the negative thereof.</w:t>
      </w:r>
    </w:p>
    <w:p>
      <w:pPr>
        <w:spacing w:after="0" w:line="1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3"/>
          <w:szCs w:val="13"/>
          <w:color w:val="auto"/>
        </w:rPr>
        <w:t>Forward-looking statements contained in this press release are based on information currently available to the Company and assumptions that management believe to be reasonable, but are inherently uncertain. As a result, Ferroglobe’s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405765</wp:posOffset>
            </wp:positionV>
            <wp:extent cx="63607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10020"/>
          </w:cols>
          <w:pgMar w:left="1080" w:top="125" w:right="799" w:bottom="1440" w:gutter="0" w:footer="0" w:header="0"/>
        </w:sectPr>
      </w:pPr>
    </w:p>
    <w:bookmarkStart w:id="7" w:name="page8"/>
    <w:bookmarkEnd w:id="7"/>
    <w:p>
      <w:pPr>
        <w:jc w:val="both"/>
        <w:spacing w:after="0" w:line="280" w:lineRule="auto"/>
        <w:rPr>
          <w:sz w:val="20"/>
          <w:szCs w:val="20"/>
          <w:color w:val="auto"/>
        </w:rPr>
      </w:pPr>
      <w:r>
        <w:rPr>
          <w:rFonts w:ascii="Times New Roman" w:cs="Times New Roman" w:eastAsia="Times New Roman" w:hAnsi="Times New Roman"/>
          <w:sz w:val="13"/>
          <w:szCs w:val="13"/>
          <w:color w:val="auto"/>
        </w:rPr>
        <w:t>Forward-looking financial information and other metrics presented herein represent the Company’s goals and are not intended as guidance or projections for the periods referenced herein or any future periods.</w:t>
      </w:r>
    </w:p>
    <w:p>
      <w:pPr>
        <w:spacing w:after="0" w:line="1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All information in this press release is as of the date of its release. Ferroglobe does not undertake any obligation to update publicly any of the forward-looking statements contained herein to reflect new information, events or circumstances arising after the date of this press release. You should not place undue reliance on any forward-looking statements, which are made only as of the date of this press release.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Non-IFRS Measures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This document may contain summarized, non-audited or non-IFRS financial information. The information contained herein should therefore be considered as a whole and in conjunction with all the public information regarding the Company available, including any other documents released by the Company that may contain more detailed information. Adjusted EBITDA, adjusted EBITDA as a percentage of sales, working capital as a percentage of sales, adjusted EBITDA margin, working capital, adjusted net profit, adjusted diluted EPS, adjusted gross debt and net cash/(debt), are non-IFRS financial metrics that management uses in its decision making. Ferroglobe has included these financial metrics to provide supplemental measures of its performance. The Company believes these metrics are important and useful to investors because they eliminate items that have less bearing on the Company’s current and future operating performance and highlight trends in its core business that may not otherwise be apparent when relying solely on 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314325</wp:posOffset>
            </wp:positionV>
            <wp:extent cx="63607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10000"/>
          </w:cols>
          <w:pgMar w:left="1080" w:top="125"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Alex Rotonen, CFA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Vice President,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investor.relations@ferroglobe.com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Cristina Feliu Roig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Vice President, Communications &amp; Public Affairs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0000FF"/>
        </w:rPr>
        <w:t>corporate.comms@ferroglobe.com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63607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0795" cy="17145"/>
                    </a:xfrm>
                    <a:prstGeom prst="rect">
                      <a:avLst/>
                    </a:prstGeom>
                    <a:noFill/>
                  </pic:spPr>
                </pic:pic>
              </a:graphicData>
            </a:graphic>
          </wp:anchor>
        </w:drawing>
      </w:r>
    </w:p>
    <w:p>
      <w:pPr>
        <w:sectPr>
          <w:pgSz w:w="11900" w:h="16838" w:orient="portrait"/>
          <w:cols w:equalWidth="0" w:num="1">
            <w:col w:w="9379"/>
          </w:cols>
          <w:pgMar w:left="1080" w:top="582" w:right="1440"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Ferroglobe PLC and Subsidiaries</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b w:val="1"/>
          <w:bCs w:val="1"/>
          <w:color w:val="auto"/>
        </w:rPr>
        <w:t>Unaudited Condensed Consolidated Income Statement</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(in thousands of U.S. dollars, except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220" w:type="dxa"/>
            <w:vAlign w:val="bottom"/>
          </w:tcPr>
          <w:p>
            <w:pPr>
              <w:spacing w:after="0"/>
              <w:rPr>
                <w:sz w:val="10"/>
                <w:szCs w:val="10"/>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r>
      <w:tr>
        <w:trPr>
          <w:trHeight w:val="115"/>
        </w:trPr>
        <w:tc>
          <w:tcPr>
            <w:tcW w:w="3400" w:type="dxa"/>
            <w:vAlign w:val="bottom"/>
          </w:tcPr>
          <w:p>
            <w:pPr>
              <w:spacing w:after="0"/>
              <w:rPr>
                <w:sz w:val="10"/>
                <w:szCs w:val="10"/>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20" w:type="dxa"/>
            <w:vAlign w:val="bottom"/>
          </w:tcPr>
          <w:p>
            <w:pPr>
              <w:spacing w:after="0"/>
              <w:rPr>
                <w:sz w:val="10"/>
                <w:szCs w:val="10"/>
                <w:color w:val="auto"/>
              </w:rPr>
            </w:pPr>
          </w:p>
        </w:tc>
        <w:tc>
          <w:tcPr>
            <w:tcW w:w="1720" w:type="dxa"/>
            <w:vAlign w:val="bottom"/>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March 31, 2025</w:t>
            </w:r>
          </w:p>
        </w:tc>
      </w:tr>
      <w:tr>
        <w:trPr>
          <w:trHeight w:val="133"/>
        </w:trPr>
        <w:tc>
          <w:tcPr>
            <w:tcW w:w="3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Sales</w:t>
            </w:r>
          </w:p>
        </w:tc>
        <w:tc>
          <w:tcPr>
            <w:tcW w:w="860" w:type="dxa"/>
            <w:vAlign w:val="bottom"/>
            <w:tcBorders>
              <w:top w:val="single" w:sz="8" w:color="CCEEFF"/>
            </w:tcBorders>
            <w:shd w:val="clear" w:color="auto" w:fill="CCEEFF"/>
          </w:tcPr>
          <w:p>
            <w:pPr>
              <w:ind w:left="7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347,745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329,382</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307,179</w:t>
            </w: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Raw materials and energy consumption for production</w:t>
            </w:r>
          </w:p>
        </w:tc>
        <w:tc>
          <w:tcPr>
            <w:tcW w:w="8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(223,488)</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(261,564)</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(238,341)</w:t>
            </w: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income</w:t>
            </w:r>
          </w:p>
        </w:tc>
        <w:tc>
          <w:tcPr>
            <w:tcW w:w="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20,492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16,450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Staff costs</w:t>
            </w:r>
          </w:p>
        </w:tc>
        <w:tc>
          <w:tcPr>
            <w:tcW w:w="8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(64,140)</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(62,542)</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(70,450)</w:t>
            </w: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w:t>
            </w:r>
          </w:p>
        </w:tc>
        <w:tc>
          <w:tcPr>
            <w:tcW w:w="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(71,765)</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(59,367)</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(47,290)</w:t>
            </w: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(16,601)</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(29,177)</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(17,520)</w:t>
            </w: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 gain</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(17,743)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gain</w:t>
            </w:r>
          </w:p>
        </w:tc>
        <w:tc>
          <w:tcPr>
            <w:tcW w:w="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1,405</w:t>
            </w:r>
          </w:p>
        </w:tc>
        <w:tc>
          <w:tcPr>
            <w:tcW w:w="1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3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(loss)</w:t>
            </w: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(7,715)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(84,513)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(55,677)</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(5,922)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(7,365)</w:t>
            </w:r>
          </w:p>
        </w:tc>
        <w:tc>
          <w:tcPr>
            <w:tcW w:w="2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(4,555)</w:t>
            </w: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Exchange differences</w:t>
            </w:r>
          </w:p>
        </w:tc>
        <w:tc>
          <w:tcPr>
            <w:tcW w:w="8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w:t>
            </w:r>
          </w:p>
        </w:tc>
        <w:tc>
          <w:tcPr>
            <w:tcW w:w="2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(6,914)</w:t>
            </w:r>
          </w:p>
        </w:tc>
        <w:tc>
          <w:tcPr>
            <w:tcW w:w="20" w:type="dxa"/>
            <w:vAlign w:val="bottom"/>
          </w:tcPr>
          <w:p>
            <w:pPr>
              <w:spacing w:after="0"/>
              <w:rPr>
                <w:sz w:val="12"/>
                <w:szCs w:val="12"/>
                <w:color w:val="auto"/>
              </w:rPr>
            </w:pPr>
          </w:p>
        </w:tc>
      </w:tr>
      <w:tr>
        <w:trPr>
          <w:trHeight w:val="133"/>
        </w:trPr>
        <w:tc>
          <w:tcPr>
            <w:tcW w:w="3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before tax</w:t>
            </w:r>
          </w:p>
        </w:tc>
        <w:tc>
          <w:tcPr>
            <w:tcW w:w="860" w:type="dxa"/>
            <w:vAlign w:val="bottom"/>
            <w:tcBorders>
              <w:top w:val="single" w:sz="8" w:color="CCEEFF"/>
            </w:tcBorders>
            <w:shd w:val="clear" w:color="auto" w:fill="CCEEFF"/>
          </w:tcPr>
          <w:p>
            <w:pPr>
              <w:ind w:left="7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(11,146)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(88,945)</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(66,273)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 (expense)</w:t>
            </w:r>
          </w:p>
        </w:tc>
        <w:tc>
          <w:tcPr>
            <w:tcW w:w="8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4,010</w:t>
            </w:r>
          </w:p>
        </w:tc>
        <w:tc>
          <w:tcPr>
            <w:tcW w:w="2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(625)</w:t>
            </w:r>
          </w:p>
        </w:tc>
        <w:tc>
          <w:tcPr>
            <w:tcW w:w="20" w:type="dxa"/>
            <w:vAlign w:val="bottom"/>
          </w:tcPr>
          <w:p>
            <w:pPr>
              <w:spacing w:after="0"/>
              <w:rPr>
                <w:sz w:val="12"/>
                <w:szCs w:val="12"/>
                <w:color w:val="auto"/>
              </w:rPr>
            </w:pPr>
          </w:p>
        </w:tc>
      </w:tr>
      <w:tr>
        <w:trPr>
          <w:trHeight w:val="133"/>
        </w:trPr>
        <w:tc>
          <w:tcPr>
            <w:tcW w:w="3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(loss) for the period</w:t>
            </w:r>
          </w:p>
        </w:tc>
        <w:tc>
          <w:tcPr>
            <w:tcW w:w="8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(7,136)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(86,009)</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(66,898)</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attributable to the parent</w:t>
            </w:r>
          </w:p>
        </w:tc>
        <w:tc>
          <w:tcPr>
            <w:tcW w:w="8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(7,053)</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(80,953)</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(66,482)</w:t>
            </w: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(Loss) attributable to non-controlling interest</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(5,056)</w:t>
            </w:r>
          </w:p>
        </w:tc>
        <w:tc>
          <w:tcPr>
            <w:tcW w:w="220" w:type="dxa"/>
            <w:vAlign w:val="bottom"/>
          </w:tcPr>
          <w:p>
            <w:pPr>
              <w:spacing w:after="0"/>
              <w:rPr>
                <w:sz w:val="12"/>
                <w:szCs w:val="12"/>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(416)</w:t>
            </w: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EBITDA</w:t>
            </w:r>
          </w:p>
        </w:tc>
        <w:tc>
          <w:tcPr>
            <w:tcW w:w="86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(53,204)</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(45,071)</w:t>
            </w: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(26,803)</w:t>
            </w: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shares outstanding</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Basic and diluted</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188,291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187,008</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per ordinary share</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3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Basic and diluted</w:t>
            </w:r>
          </w:p>
        </w:tc>
        <w:tc>
          <w:tcPr>
            <w:tcW w:w="86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(0.04)</w:t>
            </w:r>
          </w:p>
        </w:tc>
        <w:tc>
          <w:tcPr>
            <w:tcW w:w="12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(0.43)</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(0.36)</w:t>
            </w:r>
          </w:p>
        </w:tc>
        <w:tc>
          <w:tcPr>
            <w:tcW w:w="20" w:type="dxa"/>
            <w:vAlign w:val="bottom"/>
          </w:tcPr>
          <w:p>
            <w:pPr>
              <w:spacing w:after="0"/>
              <w:rPr>
                <w:sz w:val="13"/>
                <w:szCs w:val="13"/>
                <w:color w:val="auto"/>
              </w:rPr>
            </w:pPr>
          </w:p>
        </w:tc>
      </w:tr>
      <w:tr>
        <w:trPr>
          <w:trHeight w:val="788"/>
        </w:trPr>
        <w:tc>
          <w:tcPr>
            <w:tcW w:w="3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020"/>
          </w:cols>
          <w:pgMar w:left="1080" w:top="121" w:right="7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Ferroglobe PLC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 of Financial Position</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As of March 31,</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As of March 31,</w:t>
            </w:r>
          </w:p>
        </w:tc>
      </w:tr>
      <w:tr>
        <w:trPr>
          <w:trHeight w:val="115"/>
        </w:trPr>
        <w:tc>
          <w:tcPr>
            <w:tcW w:w="4660" w:type="dxa"/>
            <w:vAlign w:val="bottom"/>
          </w:tcPr>
          <w:p>
            <w:pPr>
              <w:ind w:left="446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2026</w:t>
            </w:r>
          </w:p>
        </w:tc>
        <w:tc>
          <w:tcPr>
            <w:tcW w:w="520" w:type="dxa"/>
            <w:vAlign w:val="bottom"/>
          </w:tcPr>
          <w:p>
            <w:pPr>
              <w:spacing w:after="0"/>
              <w:rPr>
                <w:sz w:val="10"/>
                <w:szCs w:val="10"/>
                <w:color w:val="auto"/>
              </w:rPr>
            </w:pPr>
          </w:p>
        </w:tc>
        <w:tc>
          <w:tcPr>
            <w:tcW w:w="440" w:type="dxa"/>
            <w:vAlign w:val="bottom"/>
            <w:gridSpan w:val="2"/>
          </w:tcPr>
          <w:p>
            <w:pPr>
              <w:jc w:val="right"/>
              <w:ind w:right="266"/>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10"/>
                <w:szCs w:val="10"/>
                <w:color w:val="auto"/>
              </w:rPr>
            </w:pPr>
          </w:p>
        </w:tc>
      </w:tr>
      <w:tr>
        <w:trPr>
          <w:trHeight w:val="124"/>
        </w:trPr>
        <w:tc>
          <w:tcPr>
            <w:tcW w:w="4660" w:type="dxa"/>
            <w:vAlign w:val="bottom"/>
          </w:tcPr>
          <w:p>
            <w:pPr>
              <w:spacing w:after="0"/>
              <w:rPr>
                <w:sz w:val="10"/>
                <w:szCs w:val="10"/>
                <w:color w:val="auto"/>
              </w:rPr>
            </w:pPr>
          </w:p>
        </w:tc>
        <w:tc>
          <w:tcPr>
            <w:tcW w:w="1200" w:type="dxa"/>
            <w:vAlign w:val="bottom"/>
            <w:tcBorders>
              <w:top w:val="single" w:sz="8" w:color="auto"/>
            </w:tcBorders>
          </w:tcPr>
          <w:p>
            <w:pPr>
              <w:jc w:val="right"/>
              <w:ind w:right="587"/>
              <w:spacing w:after="0" w:line="124" w:lineRule="exact"/>
              <w:rPr>
                <w:sz w:val="20"/>
                <w:szCs w:val="20"/>
                <w:color w:val="auto"/>
              </w:rPr>
            </w:pPr>
            <w:r>
              <w:rPr>
                <w:rFonts w:ascii="Times New Roman" w:cs="Times New Roman" w:eastAsia="Times New Roman" w:hAnsi="Times New Roman"/>
                <w:sz w:val="12"/>
                <w:szCs w:val="12"/>
                <w:b w:val="1"/>
                <w:bCs w:val="1"/>
                <w:color w:val="auto"/>
              </w:rPr>
              <w:t>ASSETS</w:t>
            </w: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1200" w:type="dxa"/>
            <w:vAlign w:val="bottom"/>
          </w:tcPr>
          <w:p>
            <w:pPr>
              <w:jc w:val="right"/>
              <w:ind w:right="10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12,472</w:t>
            </w:r>
          </w:p>
        </w:tc>
        <w:tc>
          <w:tcPr>
            <w:tcW w:w="44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14,219</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198,323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132,682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178,583</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480,827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486,678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495,285</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financial assets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46,054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26,717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25,375</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tax assets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7,997</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Receivables from related parties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1,622</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non-current assets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23,019</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760,917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681,748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746,100</w:t>
            </w:r>
          </w:p>
        </w:tc>
        <w:tc>
          <w:tcPr>
            <w:tcW w:w="20" w:type="dxa"/>
            <w:vAlign w:val="bottom"/>
          </w:tcPr>
          <w:p>
            <w:pPr>
              <w:spacing w:after="0"/>
              <w:rPr>
                <w:sz w:val="12"/>
                <w:szCs w:val="12"/>
                <w:color w:val="auto"/>
              </w:rPr>
            </w:pP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334,265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306,160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314,843</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Trade receivables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212,387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191,536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200,526</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receivables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91,534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74,665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96,308</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 income tax assets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5,191</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financial assets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8,564</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39,385</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Restricted cash and cash equivalents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122,812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129,281</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760,175</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733,732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794,398</w:t>
            </w:r>
          </w:p>
        </w:tc>
        <w:tc>
          <w:tcPr>
            <w:tcW w:w="20" w:type="dxa"/>
            <w:vAlign w:val="bottom"/>
          </w:tcPr>
          <w:p>
            <w:pPr>
              <w:spacing w:after="0"/>
              <w:rPr>
                <w:sz w:val="12"/>
                <w:szCs w:val="12"/>
                <w:color w:val="auto"/>
              </w:rPr>
            </w:pPr>
          </w:p>
        </w:tc>
      </w:tr>
      <w:tr>
        <w:trPr>
          <w:trHeight w:val="140"/>
        </w:trPr>
        <w:tc>
          <w:tcPr>
            <w:tcW w:w="46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200" w:type="dxa"/>
            <w:vAlign w:val="bottom"/>
            <w:tcBorders>
              <w:bottom w:val="single" w:sz="8" w:color="auto"/>
            </w:tcBorders>
          </w:tcPr>
          <w:p>
            <w:pPr>
              <w:jc w:val="right"/>
              <w:ind w:right="10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1,521,092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1,415,480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1,540,498</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860" w:type="dxa"/>
            <w:vAlign w:val="bottom"/>
            <w:gridSpan w:val="2"/>
          </w:tcPr>
          <w:p>
            <w:pPr>
              <w:ind w:left="4240"/>
              <w:spacing w:after="0"/>
              <w:rPr>
                <w:sz w:val="20"/>
                <w:szCs w:val="20"/>
                <w:color w:val="auto"/>
              </w:rPr>
            </w:pPr>
            <w:r>
              <w:rPr>
                <w:rFonts w:ascii="Times New Roman" w:cs="Times New Roman" w:eastAsia="Times New Roman" w:hAnsi="Times New Roman"/>
                <w:sz w:val="12"/>
                <w:szCs w:val="12"/>
                <w:b w:val="1"/>
                <w:bCs w:val="1"/>
                <w:color w:val="auto"/>
              </w:rPr>
              <w:t>EQUITY AND LIABILITIES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0" w:type="dxa"/>
            <w:vAlign w:val="bottom"/>
            <w:shd w:val="clear" w:color="auto" w:fill="CCEEFF"/>
          </w:tcPr>
          <w:p>
            <w:pPr>
              <w:jc w:val="right"/>
              <w:ind w:right="10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670,460</w:t>
            </w:r>
          </w:p>
        </w:tc>
        <w:tc>
          <w:tcPr>
            <w:tcW w:w="4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692,257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780,568</w:t>
            </w:r>
          </w:p>
        </w:tc>
        <w:tc>
          <w:tcPr>
            <w:tcW w:w="20" w:type="dxa"/>
            <w:vAlign w:val="bottom"/>
          </w:tcPr>
          <w:p>
            <w:pPr>
              <w:spacing w:after="0"/>
              <w:rPr>
                <w:sz w:val="12"/>
                <w:szCs w:val="12"/>
                <w:color w:val="auto"/>
              </w:rPr>
            </w:pP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Deferred income</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75,478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26,394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71,764</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Provisions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32,081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30,487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26,390</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Provision for pensions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28,752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28,383</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Bank borrowings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59,327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32,299</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Lease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55,523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57,429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59,766</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22,035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24,957</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Derivate financial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45,198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4,530</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14,279</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8,202</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11,005</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18,834</w:t>
            </w:r>
          </w:p>
        </w:tc>
        <w:tc>
          <w:tcPr>
            <w:tcW w:w="20" w:type="dxa"/>
            <w:vAlign w:val="bottom"/>
          </w:tcPr>
          <w:p>
            <w:pPr>
              <w:spacing w:after="0"/>
              <w:rPr>
                <w:sz w:val="12"/>
                <w:szCs w:val="12"/>
                <w:color w:val="auto"/>
              </w:rPr>
            </w:pPr>
          </w:p>
        </w:tc>
      </w:tr>
      <w:tr>
        <w:trPr>
          <w:trHeight w:val="133"/>
        </w:trPr>
        <w:tc>
          <w:tcPr>
            <w:tcW w:w="46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20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318,599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281,932</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281,202</w:t>
            </w:r>
          </w:p>
        </w:tc>
        <w:tc>
          <w:tcPr>
            <w:tcW w:w="20" w:type="dxa"/>
            <w:vAlign w:val="bottom"/>
          </w:tcPr>
          <w:p>
            <w:pPr>
              <w:spacing w:after="0"/>
              <w:rPr>
                <w:sz w:val="11"/>
                <w:szCs w:val="11"/>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Provisions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91,416</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Provision for pensions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Bank borrowings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79,876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56,214</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Lease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12,572</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instruments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14,311</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financial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24,763</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Derivate financial liabilities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2,405</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 to related parties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3,074</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Trade and other payables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206,997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144,853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176,017</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Current income tax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10,337</w:t>
            </w:r>
          </w:p>
        </w:tc>
        <w:tc>
          <w:tcPr>
            <w:tcW w:w="20" w:type="dxa"/>
            <w:vAlign w:val="bottom"/>
          </w:tcPr>
          <w:p>
            <w:pPr>
              <w:spacing w:after="0"/>
              <w:rPr>
                <w:sz w:val="12"/>
                <w:szCs w:val="12"/>
                <w:color w:val="auto"/>
              </w:rPr>
            </w:pPr>
          </w:p>
        </w:tc>
      </w:tr>
      <w:tr>
        <w:trPr>
          <w:trHeight w:val="144"/>
        </w:trPr>
        <w:tc>
          <w:tcPr>
            <w:tcW w:w="4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77,538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75,845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87,451</w:t>
            </w:r>
          </w:p>
        </w:tc>
        <w:tc>
          <w:tcPr>
            <w:tcW w:w="20" w:type="dxa"/>
            <w:vAlign w:val="bottom"/>
          </w:tcPr>
          <w:p>
            <w:pPr>
              <w:spacing w:after="0"/>
              <w:rPr>
                <w:sz w:val="12"/>
                <w:szCs w:val="12"/>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532,033</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441,291</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478,728</w:t>
            </w:r>
          </w:p>
        </w:tc>
        <w:tc>
          <w:tcPr>
            <w:tcW w:w="20" w:type="dxa"/>
            <w:vAlign w:val="bottom"/>
          </w:tcPr>
          <w:p>
            <w:pPr>
              <w:spacing w:after="0"/>
              <w:rPr>
                <w:sz w:val="12"/>
                <w:szCs w:val="12"/>
                <w:color w:val="auto"/>
              </w:rPr>
            </w:pPr>
          </w:p>
        </w:tc>
      </w:tr>
      <w:tr>
        <w:trPr>
          <w:trHeight w:val="140"/>
        </w:trPr>
        <w:tc>
          <w:tcPr>
            <w:tcW w:w="46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equity and liabilities</w:t>
            </w:r>
          </w:p>
        </w:tc>
        <w:tc>
          <w:tcPr>
            <w:tcW w:w="1200" w:type="dxa"/>
            <w:vAlign w:val="bottom"/>
            <w:tcBorders>
              <w:bottom w:val="single" w:sz="8" w:color="auto"/>
            </w:tcBorders>
          </w:tcPr>
          <w:p>
            <w:pPr>
              <w:jc w:val="right"/>
              <w:ind w:right="10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1,521,092</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1,415,480</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1,540,498</w:t>
            </w:r>
          </w:p>
        </w:tc>
        <w:tc>
          <w:tcPr>
            <w:tcW w:w="20" w:type="dxa"/>
            <w:vAlign w:val="bottom"/>
          </w:tcPr>
          <w:p>
            <w:pPr>
              <w:spacing w:after="0"/>
              <w:rPr>
                <w:sz w:val="12"/>
                <w:szCs w:val="12"/>
                <w:color w:val="auto"/>
              </w:rPr>
            </w:pPr>
          </w:p>
        </w:tc>
      </w:tr>
      <w:tr>
        <w:trPr>
          <w:trHeight w:val="592"/>
        </w:trPr>
        <w:tc>
          <w:tcPr>
            <w:tcW w:w="4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020"/>
          </w:cols>
          <w:pgMar w:left="1080" w:top="122" w:right="7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Ferroglobe PLC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w w:val="99"/>
              </w:rPr>
              <w:t>For the Three Months Ended</w:t>
            </w:r>
          </w:p>
        </w:tc>
        <w:tc>
          <w:tcPr>
            <w:tcW w:w="100" w:type="dxa"/>
            <w:vAlign w:val="bottom"/>
          </w:tcPr>
          <w:p>
            <w:pPr>
              <w:spacing w:after="0"/>
              <w:rPr>
                <w:sz w:val="10"/>
                <w:szCs w:val="10"/>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9"/>
              </w:rPr>
              <w:t>For the Three Months Ended</w:t>
            </w:r>
          </w:p>
        </w:tc>
        <w:tc>
          <w:tcPr>
            <w:tcW w:w="160" w:type="dxa"/>
            <w:vAlign w:val="bottom"/>
          </w:tcPr>
          <w:p>
            <w:pPr>
              <w:spacing w:after="0"/>
              <w:rPr>
                <w:sz w:val="10"/>
                <w:szCs w:val="10"/>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For the Three Months Ended</w:t>
            </w:r>
          </w:p>
        </w:tc>
      </w:tr>
      <w:tr>
        <w:trPr>
          <w:trHeight w:val="115"/>
        </w:trPr>
        <w:tc>
          <w:tcPr>
            <w:tcW w:w="4760" w:type="dxa"/>
            <w:vAlign w:val="bottom"/>
          </w:tcPr>
          <w:p>
            <w:pPr>
              <w:ind w:left="456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100" w:type="dxa"/>
            <w:vAlign w:val="bottom"/>
          </w:tcPr>
          <w:p>
            <w:pPr>
              <w:spacing w:after="0"/>
              <w:rPr>
                <w:sz w:val="10"/>
                <w:szCs w:val="10"/>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160" w:type="dxa"/>
            <w:vAlign w:val="bottom"/>
          </w:tcPr>
          <w:p>
            <w:pPr>
              <w:spacing w:after="0"/>
              <w:rPr>
                <w:sz w:val="10"/>
                <w:szCs w:val="10"/>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March 31, 2025</w:t>
            </w:r>
          </w:p>
        </w:tc>
      </w:tr>
      <w:tr>
        <w:trPr>
          <w:trHeight w:val="88"/>
        </w:trPr>
        <w:tc>
          <w:tcPr>
            <w:tcW w:w="476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rPr>
              <w:t>Cash flows from operating activities:</w:t>
            </w:r>
          </w:p>
        </w:tc>
        <w:tc>
          <w:tcPr>
            <w:tcW w:w="120" w:type="dxa"/>
            <w:vAlign w:val="bottom"/>
            <w:tcBorders>
              <w:top w:val="single" w:sz="8" w:color="auto"/>
            </w:tcBorders>
            <w:shd w:val="clear" w:color="auto" w:fill="CCEEFF"/>
          </w:tcPr>
          <w:p>
            <w:pPr>
              <w:spacing w:after="0"/>
              <w:rPr>
                <w:sz w:val="7"/>
                <w:szCs w:val="7"/>
                <w:color w:val="auto"/>
              </w:rPr>
            </w:pPr>
          </w:p>
        </w:tc>
        <w:tc>
          <w:tcPr>
            <w:tcW w:w="14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40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56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b w:val="1"/>
                <w:bCs w:val="1"/>
                <w:color w:val="auto"/>
              </w:rPr>
              <w:t>(Loss) for the period</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b w:val="1"/>
                <w:bCs w:val="1"/>
                <w:color w:val="auto"/>
              </w:rPr>
              <w:t>(7,136)</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b w:val="1"/>
                <w:bCs w:val="1"/>
                <w:color w:val="auto"/>
              </w:rPr>
              <w:t>(86,009)</w:t>
            </w:r>
          </w:p>
        </w:tc>
        <w:tc>
          <w:tcPr>
            <w:tcW w:w="160" w:type="dxa"/>
            <w:vAlign w:val="bottom"/>
          </w:tcPr>
          <w:p>
            <w:pPr>
              <w:jc w:val="right"/>
              <w:ind w:right="55"/>
              <w:spacing w:after="0" w:line="99"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(66,898)</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b w:val="1"/>
                <w:bCs w:val="1"/>
                <w:color w:val="auto"/>
              </w:rPr>
              <w:t>Adjustments to reconcile net (loss) to net cash (used) provided by operating activities: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Income tax (benefit)/expense</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(4,010)</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(2,936)</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625</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16,601</w:t>
            </w: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29,177</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17,520</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Finance income</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(708)</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(801)</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(873)</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Finance costs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5,922</w:t>
            </w: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7,365</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4,555</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Exchange differences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(1,783)</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(2,132)</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6,914</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Impairment loss (gain)</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17,743</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(268)</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Share-based compensation</w:t>
            </w:r>
          </w:p>
        </w:tc>
        <w:tc>
          <w:tcPr>
            <w:tcW w:w="12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947</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(92)</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1,296</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Other (gain)</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(42)</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(48)</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(1,405)</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Write downs of inventories to net realizable value</w:t>
            </w:r>
          </w:p>
        </w:tc>
        <w:tc>
          <w:tcPr>
            <w:tcW w:w="12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2,614</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4,742</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11,812</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Change in fair value of derivatives not designed as hedging instruments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(5,539)</w:t>
            </w: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40,218</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2,768</w:t>
            </w:r>
          </w:p>
        </w:tc>
        <w:tc>
          <w:tcPr>
            <w:tcW w:w="20" w:type="dxa"/>
            <w:vAlign w:val="bottom"/>
          </w:tcPr>
          <w:p>
            <w:pPr>
              <w:spacing w:after="0"/>
              <w:rPr>
                <w:sz w:val="8"/>
                <w:szCs w:val="8"/>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b w:val="1"/>
                <w:bCs w:val="1"/>
                <w:color w:val="auto"/>
              </w:rPr>
              <w:t>Changes in operating assets and liabilities</w:t>
            </w: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(Increase) decrease in inventories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(36,443)</w:t>
            </w: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59,903</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28,357</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(Increase) decrease in trade receivables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(24,100)</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(7,015)</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(7,206)</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(Increase) decrease in other receivables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(18,322)</w:t>
            </w: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18,816</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(9,573)</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Decrease (increase) in energy receivable</w:t>
            </w:r>
          </w:p>
        </w:tc>
        <w:tc>
          <w:tcPr>
            <w:tcW w:w="12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1,259</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(418)</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25,165</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Increase (decrease) in trade payables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65,455</w:t>
            </w: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(79,548)</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13,186</w:t>
            </w: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Other changes in operating assets and liabilities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(13)</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(4,727)</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(7,043)</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Income taxes (paid) refunded</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(268)</w:t>
            </w: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1,477</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440</w:t>
            </w:r>
          </w:p>
        </w:tc>
        <w:tc>
          <w:tcPr>
            <w:tcW w:w="20" w:type="dxa"/>
            <w:vAlign w:val="bottom"/>
          </w:tcPr>
          <w:p>
            <w:pPr>
              <w:spacing w:after="0"/>
              <w:rPr>
                <w:sz w:val="8"/>
                <w:szCs w:val="8"/>
                <w:color w:val="auto"/>
              </w:rPr>
            </w:pPr>
          </w:p>
        </w:tc>
      </w:tr>
      <w:tr>
        <w:trPr>
          <w:trHeight w:val="88"/>
        </w:trPr>
        <w:tc>
          <w:tcPr>
            <w:tcW w:w="476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9"/>
                <w:szCs w:val="9"/>
                <w:b w:val="1"/>
                <w:bCs w:val="1"/>
                <w:color w:val="auto"/>
              </w:rPr>
              <w:t>Net cash (used in) / provided by operating activities:</w:t>
            </w:r>
          </w:p>
        </w:tc>
        <w:tc>
          <w:tcPr>
            <w:tcW w:w="120" w:type="dxa"/>
            <w:vAlign w:val="bottom"/>
            <w:tcBorders>
              <w:top w:val="single" w:sz="8" w:color="auto"/>
              <w:bottom w:val="single" w:sz="8" w:color="auto"/>
            </w:tcBorders>
          </w:tcPr>
          <w:p>
            <w:pPr>
              <w:spacing w:after="0"/>
              <w:rPr>
                <w:sz w:val="7"/>
                <w:szCs w:val="7"/>
                <w:color w:val="auto"/>
              </w:rPr>
            </w:pPr>
          </w:p>
        </w:tc>
        <w:tc>
          <w:tcPr>
            <w:tcW w:w="14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(5,566)</w:t>
            </w:r>
          </w:p>
        </w:tc>
        <w:tc>
          <w:tcPr>
            <w:tcW w:w="26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4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(4,285)</w:t>
            </w:r>
          </w:p>
        </w:tc>
        <w:tc>
          <w:tcPr>
            <w:tcW w:w="220" w:type="dxa"/>
            <w:vAlign w:val="bottom"/>
            <w:tcBorders>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19,372</w:t>
            </w:r>
          </w:p>
        </w:tc>
        <w:tc>
          <w:tcPr>
            <w:tcW w:w="20" w:type="dxa"/>
            <w:vAlign w:val="bottom"/>
          </w:tcPr>
          <w:p>
            <w:pPr>
              <w:spacing w:after="0"/>
              <w:rPr>
                <w:sz w:val="7"/>
                <w:szCs w:val="7"/>
                <w:color w:val="auto"/>
              </w:rPr>
            </w:pPr>
          </w:p>
        </w:tc>
      </w:tr>
      <w:tr>
        <w:trPr>
          <w:trHeight w:val="88"/>
        </w:trPr>
        <w:tc>
          <w:tcPr>
            <w:tcW w:w="47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rPr>
              <w:t>Cash flows from investing activities:</w:t>
            </w: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Interest and finance income received</w:t>
            </w:r>
          </w:p>
        </w:tc>
        <w:tc>
          <w:tcPr>
            <w:tcW w:w="12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700</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991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872</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b w:val="1"/>
                <w:bCs w:val="1"/>
                <w:color w:val="auto"/>
              </w:rPr>
              <w:t>Payments due to investments: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Intangible assets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(522)</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(377)</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(557)</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Property, plant and equipment</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(10,335)</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(13,845)</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(13,750)</w:t>
            </w:r>
          </w:p>
        </w:tc>
        <w:tc>
          <w:tcPr>
            <w:tcW w:w="20" w:type="dxa"/>
            <w:vAlign w:val="bottom"/>
            <w:shd w:val="clear" w:color="auto" w:fill="CCEEFF"/>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Other financial assets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(7,000)</w:t>
            </w:r>
          </w:p>
        </w:tc>
        <w:tc>
          <w:tcPr>
            <w:tcW w:w="100" w:type="dxa"/>
            <w:vAlign w:val="bottom"/>
          </w:tcPr>
          <w:p>
            <w:pPr>
              <w:spacing w:after="0"/>
              <w:rPr>
                <w:sz w:val="8"/>
                <w:szCs w:val="8"/>
                <w:color w:val="auto"/>
              </w:rPr>
            </w:pPr>
          </w:p>
        </w:tc>
        <w:tc>
          <w:tcPr>
            <w:tcW w:w="1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(11,119)</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b w:val="1"/>
                <w:bCs w:val="1"/>
                <w:color w:val="auto"/>
              </w:rPr>
              <w:t>Disposals: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76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9"/>
                <w:szCs w:val="9"/>
                <w:color w:val="auto"/>
              </w:rPr>
              <w:t>Other non-current assets</w:t>
            </w:r>
          </w:p>
        </w:tc>
        <w:tc>
          <w:tcPr>
            <w:tcW w:w="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72</w:t>
            </w:r>
          </w:p>
        </w:tc>
        <w:tc>
          <w:tcPr>
            <w:tcW w:w="2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131</w:t>
            </w:r>
          </w:p>
        </w:tc>
        <w:tc>
          <w:tcPr>
            <w:tcW w:w="2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1,559</w:t>
            </w:r>
          </w:p>
        </w:tc>
        <w:tc>
          <w:tcPr>
            <w:tcW w:w="20" w:type="dxa"/>
            <w:vAlign w:val="bottom"/>
          </w:tcPr>
          <w:p>
            <w:pPr>
              <w:spacing w:after="0"/>
              <w:rPr>
                <w:sz w:val="8"/>
                <w:szCs w:val="8"/>
                <w:color w:val="auto"/>
              </w:rPr>
            </w:pPr>
          </w:p>
        </w:tc>
      </w:tr>
      <w:tr>
        <w:trPr>
          <w:trHeight w:val="88"/>
        </w:trPr>
        <w:tc>
          <w:tcPr>
            <w:tcW w:w="47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rPr>
              <w:t>Net cash used in investing activities</w:t>
            </w:r>
          </w:p>
        </w:tc>
        <w:tc>
          <w:tcPr>
            <w:tcW w:w="12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(17,085)</w:t>
            </w:r>
          </w:p>
        </w:tc>
        <w:tc>
          <w:tcPr>
            <w:tcW w:w="26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(13,100)</w:t>
            </w:r>
          </w:p>
        </w:tc>
        <w:tc>
          <w:tcPr>
            <w:tcW w:w="2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(22,995)</w:t>
            </w:r>
          </w:p>
        </w:tc>
        <w:tc>
          <w:tcPr>
            <w:tcW w:w="20" w:type="dxa"/>
            <w:vAlign w:val="bottom"/>
          </w:tcPr>
          <w:p>
            <w:pPr>
              <w:spacing w:after="0"/>
              <w:rPr>
                <w:sz w:val="7"/>
                <w:szCs w:val="7"/>
                <w:color w:val="auto"/>
              </w:rPr>
            </w:pPr>
          </w:p>
        </w:tc>
      </w:tr>
      <w:tr>
        <w:trPr>
          <w:trHeight w:val="88"/>
        </w:trPr>
        <w:tc>
          <w:tcPr>
            <w:tcW w:w="476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Cash flows from financing activities:</w:t>
            </w: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Dividends paid</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(2,803)</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(2,616)</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(2,613)</w:t>
            </w:r>
          </w:p>
        </w:tc>
        <w:tc>
          <w:tcPr>
            <w:tcW w:w="20" w:type="dxa"/>
            <w:vAlign w:val="bottom"/>
            <w:shd w:val="clear" w:color="auto" w:fill="CCEEFF"/>
          </w:tcPr>
          <w:p>
            <w:pPr>
              <w:spacing w:after="0"/>
              <w:rPr>
                <w:sz w:val="8"/>
                <w:szCs w:val="8"/>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Payment for debt and equity issuance costs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(217)</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(99)</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(95)</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Repayment of debt instruments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(14,649)</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(11,644)</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(10,361)</w:t>
            </w:r>
          </w:p>
        </w:tc>
        <w:tc>
          <w:tcPr>
            <w:tcW w:w="20" w:type="dxa"/>
            <w:vAlign w:val="bottom"/>
          </w:tcPr>
          <w:p>
            <w:pPr>
              <w:spacing w:after="0"/>
              <w:rPr>
                <w:sz w:val="8"/>
                <w:szCs w:val="8"/>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Proceeds from debt issuance</w:t>
            </w:r>
          </w:p>
        </w:tc>
        <w:tc>
          <w:tcPr>
            <w:tcW w:w="12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18,007</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14,800</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14,380</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b w:val="1"/>
                <w:bCs w:val="1"/>
                <w:color w:val="auto"/>
              </w:rPr>
              <w:t>Increase/(decrease) in bank borrowings: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760" w:type="dxa"/>
            <w:vAlign w:val="bottom"/>
          </w:tcPr>
          <w:p>
            <w:pPr>
              <w:ind w:left="140"/>
              <w:spacing w:after="0" w:line="99" w:lineRule="exact"/>
              <w:rPr>
                <w:sz w:val="20"/>
                <w:szCs w:val="20"/>
                <w:color w:val="auto"/>
              </w:rPr>
            </w:pPr>
            <w:r>
              <w:rPr>
                <w:rFonts w:ascii="Times New Roman" w:cs="Times New Roman" w:eastAsia="Times New Roman" w:hAnsi="Times New Roman"/>
                <w:sz w:val="9"/>
                <w:szCs w:val="9"/>
                <w:color w:val="auto"/>
              </w:rPr>
              <w:t>Borrowings</w:t>
            </w:r>
          </w:p>
        </w:tc>
        <w:tc>
          <w:tcPr>
            <w:tcW w:w="120" w:type="dxa"/>
            <w:vAlign w:val="bottom"/>
          </w:tcPr>
          <w:p>
            <w:pPr>
              <w:spacing w:after="0"/>
              <w:rPr>
                <w:sz w:val="8"/>
                <w:szCs w:val="8"/>
                <w:color w:val="auto"/>
              </w:rPr>
            </w:pPr>
          </w:p>
        </w:tc>
        <w:tc>
          <w:tcPr>
            <w:tcW w:w="14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124,162</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154,871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106,033</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Payments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(120,724)</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(126,663)</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(77,176)</w:t>
            </w:r>
          </w:p>
        </w:tc>
        <w:tc>
          <w:tcPr>
            <w:tcW w:w="20" w:type="dxa"/>
            <w:vAlign w:val="bottom"/>
            <w:shd w:val="clear" w:color="auto" w:fill="CCEEFF"/>
          </w:tcPr>
          <w:p>
            <w:pPr>
              <w:spacing w:after="0"/>
              <w:rPr>
                <w:sz w:val="8"/>
                <w:szCs w:val="8"/>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Payments for lease liabilities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(3,889)</w:t>
            </w:r>
          </w:p>
        </w:tc>
        <w:tc>
          <w:tcPr>
            <w:tcW w:w="100" w:type="dxa"/>
            <w:vAlign w:val="bottom"/>
          </w:tcPr>
          <w:p>
            <w:pPr>
              <w:spacing w:after="0"/>
              <w:rPr>
                <w:sz w:val="8"/>
                <w:szCs w:val="8"/>
                <w:color w:val="auto"/>
              </w:rPr>
            </w:pPr>
          </w:p>
        </w:tc>
        <w:tc>
          <w:tcPr>
            <w:tcW w:w="1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(6,505)</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(3,098)</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(Repayments of)/payments from other financing liabilities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(675)</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(669)</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(22,651)</w:t>
            </w:r>
          </w:p>
        </w:tc>
        <w:tc>
          <w:tcPr>
            <w:tcW w:w="20" w:type="dxa"/>
            <w:vAlign w:val="bottom"/>
            <w:shd w:val="clear" w:color="auto" w:fill="CCEEFF"/>
          </w:tcPr>
          <w:p>
            <w:pPr>
              <w:spacing w:after="0"/>
              <w:rPr>
                <w:sz w:val="8"/>
                <w:szCs w:val="8"/>
                <w:color w:val="auto"/>
              </w:rPr>
            </w:pPr>
          </w:p>
        </w:tc>
      </w:tr>
      <w:tr>
        <w:trPr>
          <w:trHeight w:val="99"/>
        </w:trPr>
        <w:tc>
          <w:tcPr>
            <w:tcW w:w="476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Payments to acquire own shares</w:t>
            </w:r>
          </w:p>
        </w:tc>
        <w:tc>
          <w:tcPr>
            <w:tcW w:w="120" w:type="dxa"/>
            <w:vAlign w:val="bottom"/>
          </w:tcPr>
          <w:p>
            <w:pPr>
              <w:spacing w:after="0"/>
              <w:rPr>
                <w:sz w:val="8"/>
                <w:szCs w:val="8"/>
                <w:color w:val="auto"/>
              </w:rPr>
            </w:pPr>
          </w:p>
        </w:tc>
        <w:tc>
          <w:tcPr>
            <w:tcW w:w="16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(20)</w:t>
            </w:r>
          </w:p>
        </w:tc>
        <w:tc>
          <w:tcPr>
            <w:tcW w:w="100" w:type="dxa"/>
            <w:vAlign w:val="bottom"/>
          </w:tcPr>
          <w:p>
            <w:pPr>
              <w:spacing w:after="0"/>
              <w:rPr>
                <w:sz w:val="8"/>
                <w:szCs w:val="8"/>
                <w:color w:val="auto"/>
              </w:rPr>
            </w:pPr>
          </w:p>
        </w:tc>
        <w:tc>
          <w:tcPr>
            <w:tcW w:w="16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1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(2,703)</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Interest paid</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(2,471)</w:t>
            </w:r>
          </w:p>
        </w:tc>
        <w:tc>
          <w:tcPr>
            <w:tcW w:w="100" w:type="dxa"/>
            <w:vAlign w:val="bottom"/>
            <w:shd w:val="clear" w:color="auto" w:fill="CCEEFF"/>
          </w:tcPr>
          <w:p>
            <w:pPr>
              <w:spacing w:after="0"/>
              <w:rPr>
                <w:sz w:val="8"/>
                <w:szCs w:val="8"/>
                <w:color w:val="auto"/>
              </w:rPr>
            </w:pPr>
          </w:p>
        </w:tc>
        <w:tc>
          <w:tcPr>
            <w:tcW w:w="1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(2,882)</w:t>
            </w: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(4,531)</w:t>
            </w:r>
          </w:p>
        </w:tc>
        <w:tc>
          <w:tcPr>
            <w:tcW w:w="20" w:type="dxa"/>
            <w:vAlign w:val="bottom"/>
            <w:shd w:val="clear" w:color="auto" w:fill="CCEEFF"/>
          </w:tcPr>
          <w:p>
            <w:pPr>
              <w:spacing w:after="0"/>
              <w:rPr>
                <w:sz w:val="8"/>
                <w:szCs w:val="8"/>
                <w:color w:val="auto"/>
              </w:rPr>
            </w:pPr>
          </w:p>
        </w:tc>
      </w:tr>
      <w:tr>
        <w:trPr>
          <w:trHeight w:val="88"/>
        </w:trPr>
        <w:tc>
          <w:tcPr>
            <w:tcW w:w="476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9"/>
                <w:szCs w:val="9"/>
                <w:b w:val="1"/>
                <w:bCs w:val="1"/>
                <w:color w:val="auto"/>
              </w:rPr>
              <w:t>Net cash (used in) / provided by financing activities</w:t>
            </w:r>
          </w:p>
        </w:tc>
        <w:tc>
          <w:tcPr>
            <w:tcW w:w="120" w:type="dxa"/>
            <w:vAlign w:val="bottom"/>
            <w:tcBorders>
              <w:top w:val="single" w:sz="8" w:color="auto"/>
              <w:bottom w:val="single" w:sz="8" w:color="auto"/>
            </w:tcBorders>
          </w:tcPr>
          <w:p>
            <w:pPr>
              <w:spacing w:after="0"/>
              <w:rPr>
                <w:sz w:val="7"/>
                <w:szCs w:val="7"/>
                <w:color w:val="auto"/>
              </w:rPr>
            </w:pPr>
          </w:p>
        </w:tc>
        <w:tc>
          <w:tcPr>
            <w:tcW w:w="14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(3,279)</w:t>
            </w:r>
          </w:p>
        </w:tc>
        <w:tc>
          <w:tcPr>
            <w:tcW w:w="26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4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18,593</w:t>
            </w:r>
          </w:p>
        </w:tc>
        <w:tc>
          <w:tcPr>
            <w:tcW w:w="220" w:type="dxa"/>
            <w:vAlign w:val="bottom"/>
            <w:tcBorders>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(2,815)</w:t>
            </w:r>
          </w:p>
        </w:tc>
        <w:tc>
          <w:tcPr>
            <w:tcW w:w="20" w:type="dxa"/>
            <w:vAlign w:val="bottom"/>
          </w:tcPr>
          <w:p>
            <w:pPr>
              <w:spacing w:after="0"/>
              <w:rPr>
                <w:sz w:val="7"/>
                <w:szCs w:val="7"/>
                <w:color w:val="auto"/>
              </w:rPr>
            </w:pPr>
          </w:p>
        </w:tc>
      </w:tr>
      <w:tr>
        <w:trPr>
          <w:trHeight w:val="88"/>
        </w:trPr>
        <w:tc>
          <w:tcPr>
            <w:tcW w:w="47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rPr>
              <w:t>Total net (decrease) increase in cash and cash equivalents</w:t>
            </w:r>
          </w:p>
        </w:tc>
        <w:tc>
          <w:tcPr>
            <w:tcW w:w="12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(25,930)</w:t>
            </w:r>
          </w:p>
        </w:tc>
        <w:tc>
          <w:tcPr>
            <w:tcW w:w="26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1,208</w:t>
            </w:r>
          </w:p>
        </w:tc>
        <w:tc>
          <w:tcPr>
            <w:tcW w:w="2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(6,438)</w:t>
            </w:r>
          </w:p>
        </w:tc>
        <w:tc>
          <w:tcPr>
            <w:tcW w:w="20" w:type="dxa"/>
            <w:vAlign w:val="bottom"/>
          </w:tcPr>
          <w:p>
            <w:pPr>
              <w:spacing w:after="0"/>
              <w:rPr>
                <w:sz w:val="7"/>
                <w:szCs w:val="7"/>
                <w:color w:val="auto"/>
              </w:rPr>
            </w:pPr>
          </w:p>
        </w:tc>
      </w:tr>
      <w:tr>
        <w:trPr>
          <w:trHeight w:val="88"/>
        </w:trPr>
        <w:tc>
          <w:tcPr>
            <w:tcW w:w="4760" w:type="dxa"/>
            <w:vAlign w:val="bottom"/>
          </w:tcPr>
          <w:p>
            <w:pPr>
              <w:ind w:left="140"/>
              <w:spacing w:after="0" w:line="88" w:lineRule="exact"/>
              <w:rPr>
                <w:sz w:val="20"/>
                <w:szCs w:val="20"/>
                <w:color w:val="auto"/>
              </w:rPr>
            </w:pPr>
            <w:r>
              <w:rPr>
                <w:rFonts w:ascii="Times New Roman" w:cs="Times New Roman" w:eastAsia="Times New Roman" w:hAnsi="Times New Roman"/>
                <w:sz w:val="9"/>
                <w:szCs w:val="9"/>
                <w:color w:val="auto"/>
              </w:rPr>
              <w:t>Beginning balance of cash and cash equivalents</w:t>
            </w:r>
          </w:p>
        </w:tc>
        <w:tc>
          <w:tcPr>
            <w:tcW w:w="120" w:type="dxa"/>
            <w:vAlign w:val="bottom"/>
          </w:tcPr>
          <w:p>
            <w:pPr>
              <w:spacing w:after="0"/>
              <w:rPr>
                <w:sz w:val="7"/>
                <w:szCs w:val="7"/>
                <w:color w:val="auto"/>
              </w:rPr>
            </w:pPr>
          </w:p>
        </w:tc>
        <w:tc>
          <w:tcPr>
            <w:tcW w:w="14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122,987</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121,477</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133,271</w:t>
            </w:r>
          </w:p>
        </w:tc>
        <w:tc>
          <w:tcPr>
            <w:tcW w:w="20" w:type="dxa"/>
            <w:vAlign w:val="bottom"/>
          </w:tcPr>
          <w:p>
            <w:pPr>
              <w:spacing w:after="0"/>
              <w:rPr>
                <w:sz w:val="7"/>
                <w:szCs w:val="7"/>
                <w:color w:val="auto"/>
              </w:rPr>
            </w:pPr>
          </w:p>
        </w:tc>
      </w:tr>
      <w:tr>
        <w:trPr>
          <w:trHeight w:val="99"/>
        </w:trPr>
        <w:tc>
          <w:tcPr>
            <w:tcW w:w="47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9"/>
                <w:szCs w:val="9"/>
                <w:color w:val="auto"/>
              </w:rPr>
              <w:t>Foreign exchange (losses) gains on cash and cash equivalents</w:t>
            </w:r>
          </w:p>
        </w:tc>
        <w:tc>
          <w:tcPr>
            <w:tcW w:w="120" w:type="dxa"/>
            <w:vAlign w:val="bottom"/>
            <w:shd w:val="clear" w:color="auto" w:fill="CCEEFF"/>
          </w:tcPr>
          <w:p>
            <w:pPr>
              <w:spacing w:after="0"/>
              <w:rPr>
                <w:sz w:val="8"/>
                <w:szCs w:val="8"/>
                <w:color w:val="auto"/>
              </w:rPr>
            </w:pPr>
          </w:p>
        </w:tc>
        <w:tc>
          <w:tcPr>
            <w:tcW w:w="16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9"/>
                <w:szCs w:val="9"/>
                <w:color w:val="auto"/>
              </w:rPr>
              <w:t>(665)</w:t>
            </w: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302</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2,748</w:t>
            </w:r>
          </w:p>
        </w:tc>
        <w:tc>
          <w:tcPr>
            <w:tcW w:w="20" w:type="dxa"/>
            <w:vAlign w:val="bottom"/>
          </w:tcPr>
          <w:p>
            <w:pPr>
              <w:spacing w:after="0"/>
              <w:rPr>
                <w:sz w:val="8"/>
                <w:szCs w:val="8"/>
                <w:color w:val="auto"/>
              </w:rPr>
            </w:pPr>
          </w:p>
        </w:tc>
      </w:tr>
      <w:tr>
        <w:trPr>
          <w:trHeight w:val="95"/>
        </w:trPr>
        <w:tc>
          <w:tcPr>
            <w:tcW w:w="476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9"/>
                <w:szCs w:val="9"/>
                <w:b w:val="1"/>
                <w:bCs w:val="1"/>
                <w:color w:val="auto"/>
              </w:rPr>
              <w:t>Ending balance of cash and cash equivalents</w:t>
            </w:r>
          </w:p>
        </w:tc>
        <w:tc>
          <w:tcPr>
            <w:tcW w:w="120" w:type="dxa"/>
            <w:vAlign w:val="bottom"/>
            <w:tcBorders>
              <w:top w:val="single" w:sz="8" w:color="auto"/>
              <w:bottom w:val="single" w:sz="8" w:color="auto"/>
            </w:tcBorders>
          </w:tcPr>
          <w:p>
            <w:pPr>
              <w:jc w:val="right"/>
              <w:ind w:right="15"/>
              <w:spacing w:after="0" w:line="88"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4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96,392</w:t>
            </w:r>
          </w:p>
        </w:tc>
        <w:tc>
          <w:tcPr>
            <w:tcW w:w="2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4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122,987</w:t>
            </w:r>
          </w:p>
        </w:tc>
        <w:tc>
          <w:tcPr>
            <w:tcW w:w="22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55"/>
              <w:spacing w:after="0" w:line="88"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129,581</w:t>
            </w:r>
          </w:p>
        </w:tc>
        <w:tc>
          <w:tcPr>
            <w:tcW w:w="20" w:type="dxa"/>
            <w:vAlign w:val="bottom"/>
          </w:tcPr>
          <w:p>
            <w:pPr>
              <w:spacing w:after="0"/>
              <w:rPr>
                <w:sz w:val="8"/>
                <w:szCs w:val="8"/>
                <w:color w:val="auto"/>
              </w:rPr>
            </w:pPr>
          </w:p>
        </w:tc>
      </w:tr>
      <w:tr>
        <w:trPr>
          <w:trHeight w:val="99"/>
        </w:trPr>
        <w:tc>
          <w:tcPr>
            <w:tcW w:w="4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Restricted cash and cash equivalents</w:t>
            </w: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164</w:t>
            </w: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175</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300</w:t>
            </w:r>
          </w:p>
        </w:tc>
        <w:tc>
          <w:tcPr>
            <w:tcW w:w="20" w:type="dxa"/>
            <w:vAlign w:val="bottom"/>
          </w:tcPr>
          <w:p>
            <w:pPr>
              <w:spacing w:after="0"/>
              <w:rPr>
                <w:sz w:val="8"/>
                <w:szCs w:val="8"/>
                <w:color w:val="auto"/>
              </w:rPr>
            </w:pPr>
          </w:p>
        </w:tc>
      </w:tr>
      <w:tr>
        <w:trPr>
          <w:trHeight w:val="99"/>
        </w:trPr>
        <w:tc>
          <w:tcPr>
            <w:tcW w:w="476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9"/>
                <w:szCs w:val="9"/>
                <w:color w:val="auto"/>
              </w:rPr>
              <w:t>Cash and cash equivalents</w:t>
            </w:r>
          </w:p>
        </w:tc>
        <w:tc>
          <w:tcPr>
            <w:tcW w:w="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96,228</w:t>
            </w:r>
          </w:p>
        </w:tc>
        <w:tc>
          <w:tcPr>
            <w:tcW w:w="2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122,812</w:t>
            </w:r>
          </w:p>
        </w:tc>
        <w:tc>
          <w:tcPr>
            <w:tcW w:w="2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129,281</w:t>
            </w:r>
          </w:p>
        </w:tc>
        <w:tc>
          <w:tcPr>
            <w:tcW w:w="20" w:type="dxa"/>
            <w:vAlign w:val="bottom"/>
          </w:tcPr>
          <w:p>
            <w:pPr>
              <w:spacing w:after="0"/>
              <w:rPr>
                <w:sz w:val="8"/>
                <w:szCs w:val="8"/>
                <w:color w:val="auto"/>
              </w:rPr>
            </w:pPr>
          </w:p>
        </w:tc>
      </w:tr>
      <w:tr>
        <w:trPr>
          <w:trHeight w:val="122"/>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Ending balance of cash and cash equivalents</w:t>
            </w:r>
          </w:p>
        </w:tc>
        <w:tc>
          <w:tcPr>
            <w:tcW w:w="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96,392</w:t>
            </w:r>
          </w:p>
        </w:tc>
        <w:tc>
          <w:tcPr>
            <w:tcW w:w="2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122,987</w:t>
            </w:r>
          </w:p>
        </w:tc>
        <w:tc>
          <w:tcPr>
            <w:tcW w:w="2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129,581</w:t>
            </w:r>
          </w:p>
        </w:tc>
        <w:tc>
          <w:tcPr>
            <w:tcW w:w="20" w:type="dxa"/>
            <w:vAlign w:val="bottom"/>
          </w:tcPr>
          <w:p>
            <w:pPr>
              <w:spacing w:after="0"/>
              <w:rPr>
                <w:sz w:val="10"/>
                <w:szCs w:val="10"/>
                <w:color w:val="auto"/>
              </w:rPr>
            </w:pPr>
          </w:p>
        </w:tc>
      </w:tr>
      <w:tr>
        <w:trPr>
          <w:trHeight w:val="799"/>
        </w:trPr>
        <w:tc>
          <w:tcPr>
            <w:tcW w:w="4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020"/>
          </w:cols>
          <w:pgMar w:left="1080" w:top="122" w:right="7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Adjusted EBITDA ($,000):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tcPr>
          <w:p>
            <w:pPr>
              <w:ind w:left="43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500" w:type="dxa"/>
            <w:vAlign w:val="bottom"/>
            <w:gridSpan w:val="2"/>
          </w:tcPr>
          <w:p>
            <w:pPr>
              <w:jc w:val="right"/>
              <w:ind w:right="940"/>
              <w:spacing w:after="0"/>
              <w:rPr>
                <w:sz w:val="20"/>
                <w:szCs w:val="20"/>
                <w:color w:val="auto"/>
              </w:rPr>
            </w:pPr>
            <w:r>
              <w:rPr>
                <w:rFonts w:ascii="Times New Roman" w:cs="Times New Roman" w:eastAsia="Times New Roman" w:hAnsi="Times New Roman"/>
                <w:sz w:val="10"/>
                <w:szCs w:val="10"/>
                <w:b w:val="1"/>
                <w:bCs w:val="1"/>
                <w:color w:val="auto"/>
              </w:rPr>
              <w:t>Q1´26</w:t>
            </w:r>
          </w:p>
        </w:tc>
        <w:tc>
          <w:tcPr>
            <w:tcW w:w="380" w:type="dxa"/>
            <w:vAlign w:val="bottom"/>
          </w:tcPr>
          <w:p>
            <w:pPr>
              <w:spacing w:after="0"/>
              <w:rPr>
                <w:sz w:val="10"/>
                <w:szCs w:val="10"/>
                <w:color w:val="auto"/>
              </w:rPr>
            </w:pPr>
          </w:p>
        </w:tc>
        <w:tc>
          <w:tcPr>
            <w:tcW w:w="1520" w:type="dxa"/>
            <w:vAlign w:val="bottom"/>
            <w:gridSpan w:val="2"/>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Q4´25</w:t>
            </w:r>
          </w:p>
        </w:tc>
        <w:tc>
          <w:tcPr>
            <w:tcW w:w="380" w:type="dxa"/>
            <w:vAlign w:val="bottom"/>
          </w:tcPr>
          <w:p>
            <w:pPr>
              <w:spacing w:after="0"/>
              <w:rPr>
                <w:sz w:val="10"/>
                <w:szCs w:val="10"/>
                <w:color w:val="auto"/>
              </w:rPr>
            </w:pPr>
          </w:p>
        </w:tc>
        <w:tc>
          <w:tcPr>
            <w:tcW w:w="1260" w:type="dxa"/>
            <w:vAlign w:val="bottom"/>
          </w:tcPr>
          <w:p>
            <w:pPr>
              <w:jc w:val="right"/>
              <w:ind w:right="652"/>
              <w:spacing w:after="0"/>
              <w:rPr>
                <w:sz w:val="20"/>
                <w:szCs w:val="20"/>
                <w:color w:val="auto"/>
              </w:rPr>
            </w:pPr>
            <w:r>
              <w:rPr>
                <w:rFonts w:ascii="Times New Roman" w:cs="Times New Roman" w:eastAsia="Times New Roman" w:hAnsi="Times New Roman"/>
                <w:sz w:val="10"/>
                <w:szCs w:val="10"/>
                <w:b w:val="1"/>
                <w:bCs w:val="1"/>
                <w:color w:val="auto"/>
              </w:rPr>
              <w:t>Q1´25</w:t>
            </w:r>
          </w:p>
        </w:tc>
      </w:tr>
      <w:tr>
        <w:trPr>
          <w:trHeight w:val="88"/>
        </w:trPr>
        <w:tc>
          <w:tcPr>
            <w:tcW w:w="458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(Loss) attributable to the parent</w:t>
            </w:r>
          </w:p>
        </w:tc>
        <w:tc>
          <w:tcPr>
            <w:tcW w:w="380" w:type="dxa"/>
            <w:vAlign w:val="bottom"/>
            <w:tcBorders>
              <w:top w:val="single" w:sz="8" w:color="auto"/>
            </w:tcBorders>
            <w:shd w:val="clear" w:color="auto" w:fill="CCEEFF"/>
          </w:tcPr>
          <w:p>
            <w:pPr>
              <w:jc w:val="right"/>
              <w:ind w:right="272"/>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(7,053)</w:t>
            </w:r>
          </w:p>
        </w:tc>
        <w:tc>
          <w:tcPr>
            <w:tcW w:w="2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(80,953)</w:t>
            </w:r>
          </w:p>
        </w:tc>
        <w:tc>
          <w:tcPr>
            <w:tcW w:w="2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(66,482)</w:t>
            </w:r>
          </w:p>
        </w:tc>
      </w:tr>
      <w:tr>
        <w:trPr>
          <w:trHeight w:val="99"/>
        </w:trPr>
        <w:tc>
          <w:tcPr>
            <w:tcW w:w="45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(Loss) attributable to non-controlling interest</w:t>
            </w:r>
          </w:p>
        </w:tc>
        <w:tc>
          <w:tcPr>
            <w:tcW w:w="380" w:type="dxa"/>
            <w:vAlign w:val="bottom"/>
          </w:tcPr>
          <w:p>
            <w:pPr>
              <w:spacing w:after="0"/>
              <w:rPr>
                <w:sz w:val="8"/>
                <w:szCs w:val="8"/>
                <w:color w:val="auto"/>
              </w:rPr>
            </w:pPr>
          </w:p>
        </w:tc>
        <w:tc>
          <w:tcPr>
            <w:tcW w:w="150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(83)</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(5,056)</w:t>
            </w: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(416)</w:t>
            </w:r>
          </w:p>
        </w:tc>
      </w:tr>
      <w:tr>
        <w:trPr>
          <w:trHeight w:val="99"/>
        </w:trPr>
        <w:tc>
          <w:tcPr>
            <w:tcW w:w="45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Income tax (benefit) expense</w:t>
            </w:r>
          </w:p>
        </w:tc>
        <w:tc>
          <w:tcPr>
            <w:tcW w:w="380" w:type="dxa"/>
            <w:vAlign w:val="bottom"/>
            <w:shd w:val="clear" w:color="auto" w:fill="CCEEFF"/>
          </w:tcPr>
          <w:p>
            <w:pPr>
              <w:spacing w:after="0"/>
              <w:rPr>
                <w:sz w:val="8"/>
                <w:szCs w:val="8"/>
                <w:color w:val="auto"/>
              </w:rPr>
            </w:pPr>
          </w:p>
        </w:tc>
        <w:tc>
          <w:tcPr>
            <w:tcW w:w="150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(4,010)</w:t>
            </w:r>
          </w:p>
        </w:tc>
        <w:tc>
          <w:tcPr>
            <w:tcW w:w="380" w:type="dxa"/>
            <w:vAlign w:val="bottom"/>
            <w:shd w:val="clear" w:color="auto" w:fill="CCEEFF"/>
          </w:tcPr>
          <w:p>
            <w:pPr>
              <w:spacing w:after="0"/>
              <w:rPr>
                <w:sz w:val="8"/>
                <w:szCs w:val="8"/>
                <w:color w:val="auto"/>
              </w:rPr>
            </w:pPr>
          </w:p>
        </w:tc>
        <w:tc>
          <w:tcPr>
            <w:tcW w:w="152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(2,936)</w:t>
            </w: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625</w:t>
            </w:r>
          </w:p>
        </w:tc>
      </w:tr>
      <w:tr>
        <w:trPr>
          <w:trHeight w:val="99"/>
        </w:trPr>
        <w:tc>
          <w:tcPr>
            <w:tcW w:w="45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Finance income</w:t>
            </w:r>
          </w:p>
        </w:tc>
        <w:tc>
          <w:tcPr>
            <w:tcW w:w="380" w:type="dxa"/>
            <w:vAlign w:val="bottom"/>
          </w:tcPr>
          <w:p>
            <w:pPr>
              <w:spacing w:after="0"/>
              <w:rPr>
                <w:sz w:val="8"/>
                <w:szCs w:val="8"/>
                <w:color w:val="auto"/>
              </w:rPr>
            </w:pPr>
          </w:p>
        </w:tc>
        <w:tc>
          <w:tcPr>
            <w:tcW w:w="150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(708)</w:t>
            </w:r>
          </w:p>
        </w:tc>
        <w:tc>
          <w:tcPr>
            <w:tcW w:w="380" w:type="dxa"/>
            <w:vAlign w:val="bottom"/>
          </w:tcPr>
          <w:p>
            <w:pPr>
              <w:spacing w:after="0"/>
              <w:rPr>
                <w:sz w:val="8"/>
                <w:szCs w:val="8"/>
                <w:color w:val="auto"/>
              </w:rPr>
            </w:pPr>
          </w:p>
        </w:tc>
        <w:tc>
          <w:tcPr>
            <w:tcW w:w="152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(801)</w:t>
            </w: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(873)</w:t>
            </w:r>
          </w:p>
        </w:tc>
      </w:tr>
      <w:tr>
        <w:trPr>
          <w:trHeight w:val="99"/>
        </w:trPr>
        <w:tc>
          <w:tcPr>
            <w:tcW w:w="45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Finance costs</w:t>
            </w:r>
          </w:p>
        </w:tc>
        <w:tc>
          <w:tcPr>
            <w:tcW w:w="380" w:type="dxa"/>
            <w:vAlign w:val="bottom"/>
            <w:shd w:val="clear" w:color="auto" w:fill="CCEEFF"/>
          </w:tcPr>
          <w:p>
            <w:pPr>
              <w:spacing w:after="0"/>
              <w:rPr>
                <w:sz w:val="8"/>
                <w:szCs w:val="8"/>
                <w:color w:val="auto"/>
              </w:rPr>
            </w:pPr>
          </w:p>
        </w:tc>
        <w:tc>
          <w:tcPr>
            <w:tcW w:w="12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5,922</w:t>
            </w:r>
          </w:p>
        </w:tc>
        <w:tc>
          <w:tcPr>
            <w:tcW w:w="2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7,365</w:t>
            </w:r>
          </w:p>
        </w:tc>
        <w:tc>
          <w:tcPr>
            <w:tcW w:w="2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4,555</w:t>
            </w:r>
          </w:p>
        </w:tc>
      </w:tr>
      <w:tr>
        <w:trPr>
          <w:trHeight w:val="99"/>
        </w:trPr>
        <w:tc>
          <w:tcPr>
            <w:tcW w:w="45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80" w:type="dxa"/>
            <w:vAlign w:val="bottom"/>
          </w:tcPr>
          <w:p>
            <w:pPr>
              <w:spacing w:after="0"/>
              <w:rPr>
                <w:sz w:val="8"/>
                <w:szCs w:val="8"/>
                <w:color w:val="auto"/>
              </w:rPr>
            </w:pPr>
          </w:p>
        </w:tc>
        <w:tc>
          <w:tcPr>
            <w:tcW w:w="12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16,601</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29,177</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17,520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446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EBITDA</w:t>
            </w: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gridSpan w:val="3"/>
            <w:shd w:val="clear" w:color="auto" w:fill="CCEEFF"/>
          </w:tcPr>
          <w:p>
            <w:pPr>
              <w:jc w:val="right"/>
              <w:ind w:right="20"/>
              <w:spacing w:after="0" w:line="88" w:lineRule="exact"/>
              <w:rPr>
                <w:sz w:val="20"/>
                <w:szCs w:val="20"/>
                <w:color w:val="auto"/>
              </w:rPr>
            </w:pPr>
            <w:r>
              <w:rPr>
                <w:rFonts w:ascii="Times New Roman" w:cs="Times New Roman" w:eastAsia="Times New Roman" w:hAnsi="Times New Roman"/>
                <w:sz w:val="10"/>
                <w:szCs w:val="10"/>
                <w:b w:val="1"/>
                <w:bCs w:val="1"/>
                <w:color w:val="auto"/>
              </w:rPr>
              <w:t>10,669</w:t>
            </w: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(53,204)</w:t>
            </w:r>
          </w:p>
        </w:tc>
        <w:tc>
          <w:tcPr>
            <w:tcW w:w="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38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(45,071)</w:t>
            </w:r>
          </w:p>
        </w:tc>
        <w:tc>
          <w:tcPr>
            <w:tcW w:w="20" w:type="dxa"/>
            <w:vAlign w:val="bottom"/>
          </w:tcPr>
          <w:p>
            <w:pPr>
              <w:spacing w:after="0"/>
              <w:rPr>
                <w:sz w:val="7"/>
                <w:szCs w:val="7"/>
                <w:color w:val="auto"/>
              </w:rPr>
            </w:pPr>
          </w:p>
        </w:tc>
      </w:tr>
      <w:tr>
        <w:trPr>
          <w:trHeight w:val="99"/>
        </w:trPr>
        <w:tc>
          <w:tcPr>
            <w:tcW w:w="44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Exchange differences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gridSpan w:val="4"/>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(1,783)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gridSpan w:val="3"/>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(2,132)</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6,914</w:t>
            </w:r>
          </w:p>
        </w:tc>
        <w:tc>
          <w:tcPr>
            <w:tcW w:w="20" w:type="dxa"/>
            <w:vAlign w:val="bottom"/>
          </w:tcPr>
          <w:p>
            <w:pPr>
              <w:spacing w:after="0"/>
              <w:rPr>
                <w:sz w:val="8"/>
                <w:szCs w:val="8"/>
                <w:color w:val="auto"/>
              </w:rPr>
            </w:pPr>
          </w:p>
        </w:tc>
      </w:tr>
      <w:tr>
        <w:trPr>
          <w:trHeight w:val="99"/>
        </w:trPr>
        <w:tc>
          <w:tcPr>
            <w:tcW w:w="44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Impairment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40" w:type="dxa"/>
            <w:vAlign w:val="bottom"/>
            <w:gridSpan w:val="3"/>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29,710</w:t>
            </w: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(268)</w:t>
            </w:r>
          </w:p>
        </w:tc>
        <w:tc>
          <w:tcPr>
            <w:tcW w:w="20" w:type="dxa"/>
            <w:vAlign w:val="bottom"/>
          </w:tcPr>
          <w:p>
            <w:pPr>
              <w:spacing w:after="0"/>
              <w:rPr>
                <w:sz w:val="8"/>
                <w:szCs w:val="8"/>
                <w:color w:val="auto"/>
              </w:rPr>
            </w:pPr>
          </w:p>
        </w:tc>
      </w:tr>
      <w:tr>
        <w:trPr>
          <w:trHeight w:val="99"/>
        </w:trPr>
        <w:tc>
          <w:tcPr>
            <w:tcW w:w="44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New strategy implementation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gridSpan w:val="3"/>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682</w:t>
            </w:r>
          </w:p>
        </w:tc>
        <w:tc>
          <w:tcPr>
            <w:tcW w:w="20" w:type="dxa"/>
            <w:vAlign w:val="bottom"/>
          </w:tcPr>
          <w:p>
            <w:pPr>
              <w:spacing w:after="0"/>
              <w:rPr>
                <w:sz w:val="8"/>
                <w:szCs w:val="8"/>
                <w:color w:val="auto"/>
              </w:rPr>
            </w:pPr>
          </w:p>
        </w:tc>
      </w:tr>
      <w:tr>
        <w:trPr>
          <w:trHeight w:val="99"/>
        </w:trPr>
        <w:tc>
          <w:tcPr>
            <w:tcW w:w="44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PPA Energy</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(5,539)</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40,216</w:t>
            </w: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2,768</w:t>
            </w:r>
          </w:p>
        </w:tc>
        <w:tc>
          <w:tcPr>
            <w:tcW w:w="20" w:type="dxa"/>
            <w:vAlign w:val="bottom"/>
          </w:tcPr>
          <w:p>
            <w:pPr>
              <w:spacing w:after="0"/>
              <w:rPr>
                <w:sz w:val="8"/>
                <w:szCs w:val="8"/>
                <w:color w:val="auto"/>
              </w:rPr>
            </w:pPr>
          </w:p>
        </w:tc>
      </w:tr>
      <w:tr>
        <w:trPr>
          <w:trHeight w:val="99"/>
        </w:trPr>
        <w:tc>
          <w:tcPr>
            <w:tcW w:w="44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Fines Inventory Adjustment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gridSpan w:val="3"/>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8,172</w:t>
            </w:r>
          </w:p>
        </w:tc>
        <w:tc>
          <w:tcPr>
            <w:tcW w:w="20" w:type="dxa"/>
            <w:vAlign w:val="bottom"/>
          </w:tcPr>
          <w:p>
            <w:pPr>
              <w:spacing w:after="0"/>
              <w:rPr>
                <w:sz w:val="8"/>
                <w:szCs w:val="8"/>
                <w:color w:val="auto"/>
              </w:rPr>
            </w:pPr>
          </w:p>
        </w:tc>
      </w:tr>
      <w:tr>
        <w:trPr>
          <w:trHeight w:val="108"/>
        </w:trPr>
        <w:tc>
          <w:tcPr>
            <w:tcW w:w="446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Adjusted EBITDA</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40" w:type="dxa"/>
            <w:vAlign w:val="bottom"/>
            <w:tcBorders>
              <w:top w:val="single" w:sz="8" w:color="auto"/>
              <w:bottom w:val="single" w:sz="8" w:color="auto"/>
            </w:tcBorders>
            <w:shd w:val="clear" w:color="auto" w:fill="CCEEFF"/>
          </w:tcPr>
          <w:p>
            <w:pPr>
              <w:jc w:val="right"/>
              <w:ind w:right="932"/>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gridSpan w:val="3"/>
            <w:shd w:val="clear" w:color="auto" w:fill="CCEEFF"/>
          </w:tcPr>
          <w:p>
            <w:pPr>
              <w:jc w:val="right"/>
              <w:ind w:right="20"/>
              <w:spacing w:after="0" w:line="88" w:lineRule="exact"/>
              <w:rPr>
                <w:sz w:val="20"/>
                <w:szCs w:val="20"/>
                <w:color w:val="auto"/>
              </w:rPr>
            </w:pPr>
            <w:r>
              <w:rPr>
                <w:rFonts w:ascii="Times New Roman" w:cs="Times New Roman" w:eastAsia="Times New Roman" w:hAnsi="Times New Roman"/>
                <w:sz w:val="10"/>
                <w:szCs w:val="10"/>
                <w:b w:val="1"/>
                <w:bCs w:val="1"/>
                <w:color w:val="auto"/>
              </w:rPr>
              <w:t>3,347</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060" w:type="dxa"/>
            <w:vAlign w:val="bottom"/>
            <w:tcBorders>
              <w:top w:val="single" w:sz="8" w:color="auto"/>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14,590</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8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(26,803)</w:t>
            </w:r>
          </w:p>
        </w:tc>
        <w:tc>
          <w:tcPr>
            <w:tcW w:w="20" w:type="dxa"/>
            <w:vAlign w:val="bottom"/>
          </w:tcPr>
          <w:p>
            <w:pPr>
              <w:spacing w:after="0"/>
              <w:rPr>
                <w:sz w:val="9"/>
                <w:szCs w:val="9"/>
                <w:color w:val="auto"/>
              </w:rPr>
            </w:pPr>
          </w:p>
        </w:tc>
      </w:tr>
      <w:tr>
        <w:trPr>
          <w:trHeight w:val="347"/>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(loss) attributable to Ferroglobe ($,000):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460" w:type="dxa"/>
            <w:vAlign w:val="bottom"/>
          </w:tcPr>
          <w:p>
            <w:pPr>
              <w:ind w:left="43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Q1´26</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Q4´25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440"/>
              <w:spacing w:after="0"/>
              <w:rPr>
                <w:sz w:val="20"/>
                <w:szCs w:val="20"/>
                <w:color w:val="auto"/>
              </w:rPr>
            </w:pPr>
            <w:r>
              <w:rPr>
                <w:rFonts w:ascii="Times New Roman" w:cs="Times New Roman" w:eastAsia="Times New Roman" w:hAnsi="Times New Roman"/>
                <w:sz w:val="10"/>
                <w:szCs w:val="10"/>
                <w:b w:val="1"/>
                <w:bCs w:val="1"/>
                <w:color w:val="auto"/>
              </w:rPr>
              <w:t>Q1´25</w:t>
            </w:r>
          </w:p>
        </w:tc>
      </w:tr>
      <w:tr>
        <w:trPr>
          <w:trHeight w:val="88"/>
        </w:trPr>
        <w:tc>
          <w:tcPr>
            <w:tcW w:w="446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(Loss) attributable to the parent</w:t>
            </w: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(7,053)</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gridSpan w:val="3"/>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(80,953)</w:t>
            </w:r>
          </w:p>
        </w:tc>
        <w:tc>
          <w:tcPr>
            <w:tcW w:w="240" w:type="dxa"/>
            <w:vAlign w:val="bottom"/>
            <w:tcBorders>
              <w:top w:val="single" w:sz="8" w:color="CCEEFF"/>
            </w:tcBorders>
            <w:gridSpan w:val="2"/>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8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(66,482)</w:t>
            </w:r>
          </w:p>
        </w:tc>
        <w:tc>
          <w:tcPr>
            <w:tcW w:w="20" w:type="dxa"/>
            <w:vAlign w:val="bottom"/>
          </w:tcPr>
          <w:p>
            <w:pPr>
              <w:spacing w:after="0"/>
              <w:rPr>
                <w:sz w:val="7"/>
                <w:szCs w:val="7"/>
                <w:color w:val="auto"/>
              </w:rPr>
            </w:pPr>
          </w:p>
        </w:tc>
      </w:tr>
      <w:tr>
        <w:trPr>
          <w:trHeight w:val="108"/>
        </w:trPr>
        <w:tc>
          <w:tcPr>
            <w:tcW w:w="446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Tax rate adjustment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gridSpan w:val="3"/>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(1,224)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21,079</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21,481</w:t>
            </w:r>
          </w:p>
        </w:tc>
        <w:tc>
          <w:tcPr>
            <w:tcW w:w="20" w:type="dxa"/>
            <w:vAlign w:val="bottom"/>
          </w:tcPr>
          <w:p>
            <w:pPr>
              <w:spacing w:after="0"/>
              <w:rPr>
                <w:sz w:val="9"/>
                <w:szCs w:val="9"/>
                <w:color w:val="auto"/>
              </w:rPr>
            </w:pPr>
          </w:p>
        </w:tc>
      </w:tr>
      <w:tr>
        <w:trPr>
          <w:trHeight w:val="108"/>
        </w:trPr>
        <w:tc>
          <w:tcPr>
            <w:tcW w:w="44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Impairment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80" w:type="dxa"/>
            <w:vAlign w:val="bottom"/>
            <w:gridSpan w:val="4"/>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18,286</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(184)</w:t>
            </w:r>
          </w:p>
        </w:tc>
        <w:tc>
          <w:tcPr>
            <w:tcW w:w="20" w:type="dxa"/>
            <w:vAlign w:val="bottom"/>
          </w:tcPr>
          <w:p>
            <w:pPr>
              <w:spacing w:after="0"/>
              <w:rPr>
                <w:sz w:val="9"/>
                <w:szCs w:val="9"/>
                <w:color w:val="auto"/>
              </w:rPr>
            </w:pPr>
          </w:p>
        </w:tc>
      </w:tr>
      <w:tr>
        <w:trPr>
          <w:trHeight w:val="108"/>
        </w:trPr>
        <w:tc>
          <w:tcPr>
            <w:tcW w:w="446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New strategy implementation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467</w:t>
            </w:r>
          </w:p>
        </w:tc>
        <w:tc>
          <w:tcPr>
            <w:tcW w:w="20" w:type="dxa"/>
            <w:vAlign w:val="bottom"/>
          </w:tcPr>
          <w:p>
            <w:pPr>
              <w:spacing w:after="0"/>
              <w:rPr>
                <w:sz w:val="9"/>
                <w:szCs w:val="9"/>
                <w:color w:val="auto"/>
              </w:rPr>
            </w:pPr>
          </w:p>
        </w:tc>
      </w:tr>
      <w:tr>
        <w:trPr>
          <w:trHeight w:val="108"/>
        </w:trPr>
        <w:tc>
          <w:tcPr>
            <w:tcW w:w="44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PPA Energy</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80" w:type="dxa"/>
            <w:vAlign w:val="bottom"/>
            <w:gridSpan w:val="3"/>
            <w:shd w:val="clear" w:color="auto" w:fill="CCEEFF"/>
          </w:tcPr>
          <w:p>
            <w:pPr>
              <w:jc w:val="right"/>
              <w:ind w:right="80"/>
              <w:spacing w:after="0" w:line="108" w:lineRule="exact"/>
              <w:rPr>
                <w:sz w:val="20"/>
                <w:szCs w:val="20"/>
                <w:color w:val="auto"/>
              </w:rPr>
            </w:pPr>
            <w:r>
              <w:rPr>
                <w:rFonts w:ascii="Times New Roman" w:cs="Times New Roman" w:eastAsia="Times New Roman" w:hAnsi="Times New Roman"/>
                <w:sz w:val="10"/>
                <w:szCs w:val="10"/>
                <w:color w:val="auto"/>
              </w:rPr>
              <w:t>(4,154)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29,358</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1,897</w:t>
            </w:r>
          </w:p>
        </w:tc>
        <w:tc>
          <w:tcPr>
            <w:tcW w:w="20" w:type="dxa"/>
            <w:vAlign w:val="bottom"/>
          </w:tcPr>
          <w:p>
            <w:pPr>
              <w:spacing w:after="0"/>
              <w:rPr>
                <w:sz w:val="9"/>
                <w:szCs w:val="9"/>
                <w:color w:val="auto"/>
              </w:rPr>
            </w:pPr>
          </w:p>
        </w:tc>
      </w:tr>
      <w:tr>
        <w:trPr>
          <w:trHeight w:val="108"/>
        </w:trPr>
        <w:tc>
          <w:tcPr>
            <w:tcW w:w="446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Fines Inventory Adjustment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5,600</w:t>
            </w:r>
          </w:p>
        </w:tc>
        <w:tc>
          <w:tcPr>
            <w:tcW w:w="20" w:type="dxa"/>
            <w:vAlign w:val="bottom"/>
          </w:tcPr>
          <w:p>
            <w:pPr>
              <w:spacing w:after="0"/>
              <w:rPr>
                <w:sz w:val="9"/>
                <w:szCs w:val="9"/>
                <w:color w:val="auto"/>
              </w:rPr>
            </w:pPr>
          </w:p>
        </w:tc>
      </w:tr>
      <w:tr>
        <w:trPr>
          <w:trHeight w:val="108"/>
        </w:trPr>
        <w:tc>
          <w:tcPr>
            <w:tcW w:w="446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Adjusted (loss) attributable to the parent</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Borders>
              <w:top w:val="single" w:sz="8" w:color="auto"/>
              <w:bottom w:val="single" w:sz="8" w:color="auto"/>
            </w:tcBorders>
            <w:shd w:val="clear" w:color="auto" w:fill="CCEEFF"/>
          </w:tcPr>
          <w:p>
            <w:pPr>
              <w:spacing w:after="0"/>
              <w:rPr>
                <w:sz w:val="9"/>
                <w:szCs w:val="9"/>
                <w:color w:val="auto"/>
              </w:rPr>
            </w:pPr>
          </w:p>
        </w:tc>
        <w:tc>
          <w:tcPr>
            <w:tcW w:w="50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(12,431)</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Borders>
              <w:top w:val="single" w:sz="8" w:color="auto"/>
              <w:bottom w:val="single" w:sz="8" w:color="auto"/>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gridSpan w:val="3"/>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(12,230)</w:t>
            </w:r>
          </w:p>
        </w:tc>
        <w:tc>
          <w:tcPr>
            <w:tcW w:w="24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80" w:type="dxa"/>
            <w:vAlign w:val="bottom"/>
            <w:tcBorders>
              <w:top w:val="single" w:sz="8" w:color="auto"/>
              <w:bottom w:val="single" w:sz="8" w:color="auto"/>
            </w:tcBorders>
            <w:gridSpan w:val="2"/>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(37,220)</w:t>
            </w:r>
          </w:p>
        </w:tc>
        <w:tc>
          <w:tcPr>
            <w:tcW w:w="20" w:type="dxa"/>
            <w:vAlign w:val="bottom"/>
          </w:tcPr>
          <w:p>
            <w:pPr>
              <w:spacing w:after="0"/>
              <w:rPr>
                <w:sz w:val="9"/>
                <w:szCs w:val="9"/>
                <w:color w:val="auto"/>
              </w:rPr>
            </w:pPr>
          </w:p>
        </w:tc>
      </w:tr>
      <w:tr>
        <w:trPr>
          <w:trHeight w:val="563"/>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diluted (loss) per share: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4460" w:type="dxa"/>
            <w:vAlign w:val="bottom"/>
          </w:tcPr>
          <w:p>
            <w:pPr>
              <w:ind w:left="4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Q1´26</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Q4´25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Q1´25</w:t>
            </w:r>
          </w:p>
        </w:tc>
      </w:tr>
      <w:tr>
        <w:trPr>
          <w:trHeight w:val="88"/>
        </w:trPr>
        <w:tc>
          <w:tcPr>
            <w:tcW w:w="446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Diluted (loss) per ordinary share</w:t>
            </w:r>
          </w:p>
        </w:tc>
        <w:tc>
          <w:tcPr>
            <w:tcW w:w="120" w:type="dxa"/>
            <w:vAlign w:val="bottom"/>
            <w:tcBorders>
              <w:top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(0.04)</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(0.43)</w:t>
            </w:r>
          </w:p>
        </w:tc>
        <w:tc>
          <w:tcPr>
            <w:tcW w:w="2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(0.36)</w:t>
            </w:r>
          </w:p>
        </w:tc>
        <w:tc>
          <w:tcPr>
            <w:tcW w:w="240" w:type="dxa"/>
            <w:vAlign w:val="bottom"/>
            <w:tcBorders>
              <w:top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44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Tax rate adjustment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gridSpan w:val="2"/>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(0.01)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0.11</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0.11</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46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Impairment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0.10</w:t>
            </w: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(0.00)</w:t>
            </w:r>
          </w:p>
        </w:tc>
        <w:tc>
          <w:tcPr>
            <w:tcW w:w="20" w:type="dxa"/>
            <w:vAlign w:val="bottom"/>
          </w:tcPr>
          <w:p>
            <w:pPr>
              <w:spacing w:after="0"/>
              <w:rPr>
                <w:sz w:val="8"/>
                <w:szCs w:val="8"/>
                <w:color w:val="auto"/>
              </w:rPr>
            </w:pPr>
          </w:p>
        </w:tc>
      </w:tr>
      <w:tr>
        <w:trPr>
          <w:trHeight w:val="99"/>
        </w:trPr>
        <w:tc>
          <w:tcPr>
            <w:tcW w:w="44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New strategy implementation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gridSpan w:val="4"/>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gridSpan w:val="3"/>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0.00</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46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PPA Energy</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(0.02)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0.16</w:t>
            </w: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0.01</w:t>
            </w:r>
          </w:p>
        </w:tc>
        <w:tc>
          <w:tcPr>
            <w:tcW w:w="2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4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Fines Inventory Adjustment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gridSpan w:val="4"/>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gridSpan w:val="3"/>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0.03</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446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Adjusted diluted (loss) per ordinary share</w:t>
            </w:r>
          </w:p>
        </w:tc>
        <w:tc>
          <w:tcPr>
            <w:tcW w:w="120" w:type="dxa"/>
            <w:vAlign w:val="bottom"/>
            <w:tcBorders>
              <w:top w:val="single" w:sz="8" w:color="auto"/>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(0.07)</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shd w:val="clear" w:color="auto" w:fill="CCEEFF"/>
          </w:tcPr>
          <w:p>
            <w:pPr>
              <w:spacing w:after="0"/>
              <w:rPr>
                <w:sz w:val="8"/>
                <w:szCs w:val="8"/>
                <w:color w:val="auto"/>
              </w:rPr>
            </w:pPr>
          </w:p>
        </w:tc>
        <w:tc>
          <w:tcPr>
            <w:tcW w:w="1060" w:type="dxa"/>
            <w:vAlign w:val="bottom"/>
            <w:tcBorders>
              <w:top w:val="single" w:sz="8" w:color="auto"/>
              <w:bottom w:val="single" w:sz="8" w:color="auto"/>
            </w:tcBorders>
            <w:shd w:val="clear" w:color="auto" w:fill="CCEEFF"/>
          </w:tcPr>
          <w:p>
            <w:pPr>
              <w:spacing w:after="0"/>
              <w:rPr>
                <w:sz w:val="8"/>
                <w:szCs w:val="8"/>
                <w:color w:val="auto"/>
              </w:rPr>
            </w:pPr>
          </w:p>
        </w:tc>
        <w:tc>
          <w:tcPr>
            <w:tcW w:w="3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(0.06)</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bottom w:val="single" w:sz="8" w:color="auto"/>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spacing w:after="0"/>
              <w:rPr>
                <w:sz w:val="8"/>
                <w:szCs w:val="8"/>
                <w:color w:val="auto"/>
              </w:rPr>
            </w:pPr>
          </w:p>
        </w:tc>
        <w:tc>
          <w:tcPr>
            <w:tcW w:w="11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(0.20)</w:t>
            </w:r>
          </w:p>
        </w:tc>
        <w:tc>
          <w:tcPr>
            <w:tcW w:w="2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45720</wp:posOffset>
            </wp:positionV>
            <wp:extent cx="7087235" cy="452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020"/>
          </w:cols>
          <w:pgMar w:left="1080" w:top="125" w:right="79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2026-05-05T16:06:57Z</dcterms:created>
  <dcterms:modified xsi:type="dcterms:W3CDTF">2026-05-05T16:06:57Z</dcterms:modified>
</cp:coreProperties>
</file>